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D1834">
        <w:trPr>
          <w:jc w:val="center"/>
        </w:trPr>
        <w:tc>
          <w:tcPr>
            <w:tcW w:w="743" w:type="dxa"/>
          </w:tcPr>
          <w:p w:rsidR="002914D6" w:rsidRDefault="00357A85">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357A85">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תמר סנונית פורר</w:t>
                </w:r>
              </w:sdtContent>
            </w:sdt>
          </w:p>
          <w:p w:rsidR="002914D6" w:rsidRDefault="002914D6">
            <w:pPr>
              <w:rPr>
                <w:rFonts w:ascii="Arial" w:hAnsi="Arial" w:cs="FrankRuehl"/>
                <w:sz w:val="28"/>
                <w:szCs w:val="28"/>
                <w:highlight w:val="yellow"/>
              </w:rPr>
            </w:pPr>
          </w:p>
        </w:tc>
      </w:tr>
      <w:tr w:rsidR="004D1834">
        <w:trPr>
          <w:jc w:val="center"/>
        </w:trPr>
        <w:tc>
          <w:tcPr>
            <w:tcW w:w="3249" w:type="dxa"/>
            <w:gridSpan w:val="2"/>
          </w:tcPr>
          <w:p w:rsidR="002914D6" w:rsidRPr="002418DD" w:rsidRDefault="002914D6">
            <w:pPr>
              <w:bidi w:val="0"/>
              <w:jc w:val="right"/>
              <w:rPr>
                <w:rFonts w:ascii="Arial" w:hAnsi="Arial"/>
                <w:b/>
                <w:bCs/>
                <w:noProof w:val="0"/>
                <w:sz w:val="26"/>
                <w:szCs w:val="26"/>
              </w:rPr>
            </w:pPr>
          </w:p>
          <w:p w:rsidR="00EF7CEE" w:rsidRPr="002418DD" w:rsidRDefault="00357A85">
            <w:pPr>
              <w:bidi w:val="0"/>
              <w:jc w:val="right"/>
              <w:rPr>
                <w:rFonts w:ascii="Arial" w:hAnsi="Arial"/>
                <w:b/>
                <w:bCs/>
                <w:noProof w:val="0"/>
                <w:sz w:val="26"/>
                <w:szCs w:val="26"/>
                <w:u w:val="single"/>
                <w:rtl/>
              </w:rPr>
            </w:pPr>
            <w:r w:rsidRPr="002418DD">
              <w:rPr>
                <w:rFonts w:ascii="Arial" w:hAnsi="Arial" w:hint="cs"/>
                <w:b/>
                <w:bCs/>
                <w:noProof w:val="0"/>
                <w:sz w:val="26"/>
                <w:szCs w:val="26"/>
                <w:u w:val="single"/>
                <w:rtl/>
              </w:rPr>
              <w:t>התובע/ נתבע:</w:t>
            </w:r>
          </w:p>
        </w:tc>
        <w:tc>
          <w:tcPr>
            <w:tcW w:w="5571" w:type="dxa"/>
          </w:tcPr>
          <w:p w:rsidR="002914D6" w:rsidRPr="002418DD" w:rsidRDefault="002914D6">
            <w:pPr>
              <w:rPr>
                <w:rFonts w:ascii="Arial" w:hAnsi="Arial"/>
                <w:b/>
                <w:bCs/>
                <w:noProof w:val="0"/>
                <w:sz w:val="26"/>
                <w:szCs w:val="26"/>
              </w:rPr>
            </w:pPr>
          </w:p>
          <w:p w:rsidR="002914D6" w:rsidRPr="002418DD" w:rsidRDefault="00F156C3" w:rsidP="00942577">
            <w:pPr>
              <w:rPr>
                <w:rFonts w:ascii="Arial" w:hAnsi="Arial"/>
                <w:b/>
                <w:bCs/>
                <w:noProof w:val="0"/>
                <w:sz w:val="26"/>
                <w:szCs w:val="26"/>
                <w:rtl/>
              </w:rPr>
            </w:pPr>
            <w:r>
              <w:rPr>
                <w:rFonts w:ascii="Arial" w:hAnsi="Arial" w:hint="cs"/>
                <w:b/>
                <w:bCs/>
                <w:noProof w:val="0"/>
                <w:sz w:val="26"/>
                <w:szCs w:val="26"/>
                <w:rtl/>
              </w:rPr>
              <w:t>פלוני</w:t>
            </w:r>
            <w:r w:rsidR="00942577">
              <w:rPr>
                <w:rFonts w:ascii="Arial" w:hAnsi="Arial" w:hint="cs"/>
                <w:b/>
                <w:bCs/>
                <w:noProof w:val="0"/>
                <w:sz w:val="26"/>
                <w:szCs w:val="26"/>
                <w:rtl/>
              </w:rPr>
              <w:t xml:space="preserve"> </w:t>
            </w:r>
            <w:r w:rsidR="00942577" w:rsidRPr="00942577">
              <w:rPr>
                <w:rFonts w:ascii="Arial" w:hAnsi="Arial" w:hint="cs"/>
                <w:b/>
                <w:bCs/>
                <w:noProof w:val="0"/>
                <w:sz w:val="26"/>
                <w:szCs w:val="26"/>
                <w:rtl/>
              </w:rPr>
              <w:t xml:space="preserve">ת"ז </w:t>
            </w:r>
            <w:r w:rsidR="00942577" w:rsidRPr="00942577">
              <w:rPr>
                <w:rFonts w:ascii="Arial" w:hAnsi="Arial"/>
                <w:b/>
                <w:bCs/>
                <w:noProof w:val="0"/>
                <w:sz w:val="26"/>
                <w:szCs w:val="26"/>
                <w:lang w:val="en-GB"/>
              </w:rPr>
              <w:t>xxx</w:t>
            </w:r>
          </w:p>
          <w:p w:rsidR="002418DD" w:rsidRPr="002418DD" w:rsidRDefault="00357A85" w:rsidP="002418DD">
            <w:pPr>
              <w:rPr>
                <w:b/>
                <w:bCs/>
                <w:noProof w:val="0"/>
                <w:sz w:val="26"/>
                <w:szCs w:val="26"/>
              </w:rPr>
            </w:pPr>
            <w:r w:rsidRPr="002418DD">
              <w:rPr>
                <w:rFonts w:hint="cs"/>
                <w:b/>
                <w:bCs/>
                <w:noProof w:val="0"/>
                <w:sz w:val="26"/>
                <w:szCs w:val="26"/>
                <w:rtl/>
              </w:rPr>
              <w:t>ע"י ב"כ עו"ד מורן</w:t>
            </w:r>
          </w:p>
        </w:tc>
      </w:tr>
      <w:tr w:rsidR="004D1834">
        <w:trPr>
          <w:jc w:val="center"/>
        </w:trPr>
        <w:tc>
          <w:tcPr>
            <w:tcW w:w="8820" w:type="dxa"/>
            <w:gridSpan w:val="3"/>
          </w:tcPr>
          <w:p w:rsidR="002914D6" w:rsidRPr="002418DD" w:rsidRDefault="002914D6">
            <w:pPr>
              <w:rPr>
                <w:rFonts w:ascii="Arial" w:hAnsi="Arial"/>
                <w:b/>
                <w:bCs/>
                <w:noProof w:val="0"/>
                <w:sz w:val="26"/>
                <w:szCs w:val="26"/>
                <w:rtl/>
              </w:rPr>
            </w:pPr>
          </w:p>
          <w:p w:rsidR="002914D6" w:rsidRPr="002418DD" w:rsidRDefault="00357A85">
            <w:pPr>
              <w:jc w:val="center"/>
              <w:rPr>
                <w:rFonts w:ascii="Arial" w:hAnsi="Arial"/>
                <w:b/>
                <w:bCs/>
                <w:noProof w:val="0"/>
                <w:sz w:val="26"/>
                <w:szCs w:val="26"/>
                <w:rtl/>
              </w:rPr>
            </w:pPr>
            <w:r w:rsidRPr="002418DD">
              <w:rPr>
                <w:rFonts w:ascii="Arial" w:hAnsi="Arial"/>
                <w:b/>
                <w:bCs/>
                <w:noProof w:val="0"/>
                <w:sz w:val="26"/>
                <w:szCs w:val="26"/>
                <w:rtl/>
              </w:rPr>
              <w:t>נגד</w:t>
            </w:r>
          </w:p>
          <w:p w:rsidR="002914D6" w:rsidRPr="002418DD" w:rsidRDefault="002914D6">
            <w:pPr>
              <w:rPr>
                <w:rFonts w:ascii="Arial" w:hAnsi="Arial"/>
                <w:b/>
                <w:bCs/>
                <w:noProof w:val="0"/>
                <w:sz w:val="26"/>
                <w:szCs w:val="26"/>
              </w:rPr>
            </w:pPr>
          </w:p>
        </w:tc>
      </w:tr>
      <w:tr w:rsidR="004D1834">
        <w:trPr>
          <w:jc w:val="center"/>
        </w:trPr>
        <w:tc>
          <w:tcPr>
            <w:tcW w:w="3249" w:type="dxa"/>
            <w:gridSpan w:val="2"/>
          </w:tcPr>
          <w:p w:rsidR="002914D6" w:rsidRPr="002418DD" w:rsidRDefault="002914D6">
            <w:pPr>
              <w:rPr>
                <w:rFonts w:ascii="Arial" w:hAnsi="Arial"/>
                <w:b/>
                <w:bCs/>
                <w:noProof w:val="0"/>
                <w:sz w:val="26"/>
                <w:szCs w:val="26"/>
                <w:rtl/>
              </w:rPr>
            </w:pPr>
          </w:p>
          <w:p w:rsidR="002914D6" w:rsidRPr="002418DD" w:rsidRDefault="00357A85">
            <w:pPr>
              <w:rPr>
                <w:rFonts w:ascii="Arial" w:hAnsi="Arial"/>
                <w:b/>
                <w:bCs/>
                <w:noProof w:val="0"/>
                <w:sz w:val="26"/>
                <w:szCs w:val="26"/>
                <w:u w:val="single"/>
              </w:rPr>
            </w:pPr>
            <w:r w:rsidRPr="002418DD">
              <w:rPr>
                <w:rFonts w:ascii="Arial" w:hAnsi="Arial" w:hint="cs"/>
                <w:b/>
                <w:bCs/>
                <w:noProof w:val="0"/>
                <w:sz w:val="26"/>
                <w:szCs w:val="26"/>
                <w:u w:val="single"/>
                <w:rtl/>
              </w:rPr>
              <w:t>הנתבעת/ תובעת:</w:t>
            </w:r>
          </w:p>
        </w:tc>
        <w:tc>
          <w:tcPr>
            <w:tcW w:w="5571" w:type="dxa"/>
          </w:tcPr>
          <w:p w:rsidR="002914D6" w:rsidRPr="002418DD" w:rsidRDefault="002914D6">
            <w:pPr>
              <w:rPr>
                <w:rFonts w:ascii="Arial" w:hAnsi="Arial"/>
                <w:b/>
                <w:bCs/>
                <w:noProof w:val="0"/>
                <w:sz w:val="26"/>
                <w:szCs w:val="26"/>
                <w:rtl/>
              </w:rPr>
            </w:pPr>
          </w:p>
          <w:p w:rsidR="002914D6" w:rsidRPr="002418DD" w:rsidRDefault="00F156C3" w:rsidP="00942577">
            <w:pPr>
              <w:rPr>
                <w:rFonts w:ascii="Arial" w:hAnsi="Arial"/>
                <w:b/>
                <w:bCs/>
                <w:noProof w:val="0"/>
                <w:sz w:val="26"/>
                <w:szCs w:val="26"/>
                <w:rtl/>
              </w:rPr>
            </w:pPr>
            <w:r>
              <w:rPr>
                <w:rFonts w:ascii="Arial" w:hAnsi="Arial" w:hint="cs"/>
                <w:b/>
                <w:bCs/>
                <w:noProof w:val="0"/>
                <w:sz w:val="26"/>
                <w:szCs w:val="26"/>
                <w:rtl/>
              </w:rPr>
              <w:t>אלמונית</w:t>
            </w:r>
            <w:r w:rsidR="00942577">
              <w:rPr>
                <w:rFonts w:ascii="Arial" w:hAnsi="Arial" w:hint="cs"/>
                <w:b/>
                <w:bCs/>
                <w:noProof w:val="0"/>
                <w:sz w:val="26"/>
                <w:szCs w:val="26"/>
                <w:rtl/>
              </w:rPr>
              <w:t xml:space="preserve"> </w:t>
            </w:r>
            <w:r w:rsidR="00942577" w:rsidRPr="00942577">
              <w:rPr>
                <w:rFonts w:ascii="Arial" w:hAnsi="Arial" w:hint="cs"/>
                <w:b/>
                <w:bCs/>
                <w:noProof w:val="0"/>
                <w:sz w:val="26"/>
                <w:szCs w:val="26"/>
                <w:rtl/>
              </w:rPr>
              <w:t xml:space="preserve">ת"ז </w:t>
            </w:r>
            <w:r w:rsidR="00942577" w:rsidRPr="00942577">
              <w:rPr>
                <w:rFonts w:ascii="Arial" w:hAnsi="Arial"/>
                <w:b/>
                <w:bCs/>
                <w:noProof w:val="0"/>
                <w:sz w:val="26"/>
                <w:szCs w:val="26"/>
                <w:lang w:val="en-GB"/>
              </w:rPr>
              <w:t>xxx</w:t>
            </w:r>
          </w:p>
          <w:p w:rsidR="002418DD" w:rsidRPr="002418DD" w:rsidRDefault="00357A85">
            <w:pPr>
              <w:rPr>
                <w:b/>
                <w:bCs/>
                <w:noProof w:val="0"/>
                <w:sz w:val="26"/>
                <w:szCs w:val="26"/>
                <w:rtl/>
              </w:rPr>
            </w:pPr>
            <w:r w:rsidRPr="002418DD">
              <w:rPr>
                <w:rFonts w:hint="cs"/>
                <w:b/>
                <w:bCs/>
                <w:noProof w:val="0"/>
                <w:sz w:val="26"/>
                <w:szCs w:val="26"/>
                <w:rtl/>
              </w:rPr>
              <w:t>ע"י ב"כ עו"ד ליכט פטרן</w:t>
            </w:r>
          </w:p>
          <w:p w:rsidR="002418DD" w:rsidRPr="002418DD" w:rsidRDefault="002418DD">
            <w:pPr>
              <w:rPr>
                <w:b/>
                <w:bCs/>
                <w:noProof w:val="0"/>
                <w:sz w:val="26"/>
                <w:szCs w:val="26"/>
                <w:rtl/>
              </w:rPr>
            </w:pPr>
          </w:p>
          <w:p w:rsidR="002418DD" w:rsidRPr="002418DD" w:rsidRDefault="002418DD">
            <w:pPr>
              <w:rPr>
                <w:b/>
                <w:bCs/>
                <w:noProof w:val="0"/>
                <w:sz w:val="26"/>
                <w:szCs w:val="26"/>
                <w:rtl/>
              </w:rPr>
            </w:pPr>
          </w:p>
        </w:tc>
      </w:tr>
    </w:tbl>
    <w:p w:rsidR="002914D6" w:rsidRPr="002418DD" w:rsidRDefault="00357A85" w:rsidP="00685810">
      <w:pPr>
        <w:rPr>
          <w:b/>
          <w:bCs/>
          <w:sz w:val="26"/>
          <w:szCs w:val="26"/>
          <w:rtl/>
        </w:rPr>
      </w:pPr>
      <w:r w:rsidRPr="002418DD">
        <w:rPr>
          <w:rFonts w:hint="cs"/>
          <w:b/>
          <w:bCs/>
          <w:sz w:val="26"/>
          <w:szCs w:val="26"/>
          <w:u w:val="single"/>
          <w:rtl/>
        </w:rPr>
        <w:t>החברה</w:t>
      </w:r>
      <w:r w:rsidRPr="002418DD">
        <w:rPr>
          <w:rFonts w:hint="cs"/>
          <w:b/>
          <w:bCs/>
          <w:sz w:val="26"/>
          <w:szCs w:val="26"/>
          <w:rtl/>
        </w:rPr>
        <w:t>:</w:t>
      </w:r>
      <w:r w:rsidRPr="002418DD">
        <w:rPr>
          <w:b/>
          <w:bCs/>
          <w:sz w:val="26"/>
          <w:szCs w:val="26"/>
          <w:rtl/>
        </w:rPr>
        <w:tab/>
      </w:r>
      <w:r w:rsidRPr="002418DD">
        <w:rPr>
          <w:b/>
          <w:bCs/>
          <w:sz w:val="26"/>
          <w:szCs w:val="26"/>
          <w:rtl/>
        </w:rPr>
        <w:tab/>
      </w:r>
      <w:r w:rsidRPr="002418DD">
        <w:rPr>
          <w:b/>
          <w:bCs/>
          <w:sz w:val="26"/>
          <w:szCs w:val="26"/>
          <w:rtl/>
        </w:rPr>
        <w:tab/>
      </w:r>
      <w:r w:rsidRPr="002418DD">
        <w:rPr>
          <w:rFonts w:hint="cs"/>
          <w:b/>
          <w:bCs/>
          <w:sz w:val="26"/>
          <w:szCs w:val="26"/>
          <w:rtl/>
        </w:rPr>
        <w:t xml:space="preserve">     חברת </w:t>
      </w:r>
      <w:r w:rsidR="003D5798">
        <w:rPr>
          <w:rFonts w:hint="cs"/>
          <w:b/>
          <w:bCs/>
          <w:sz w:val="26"/>
          <w:szCs w:val="26"/>
          <w:rtl/>
        </w:rPr>
        <w:t>****</w:t>
      </w:r>
      <w:r w:rsidR="003D5798" w:rsidRPr="002418DD">
        <w:rPr>
          <w:rFonts w:hint="cs"/>
          <w:b/>
          <w:bCs/>
          <w:sz w:val="26"/>
          <w:szCs w:val="26"/>
          <w:rtl/>
        </w:rPr>
        <w:t xml:space="preserve"> </w:t>
      </w:r>
      <w:r w:rsidRPr="002418DD">
        <w:rPr>
          <w:rFonts w:hint="cs"/>
          <w:b/>
          <w:bCs/>
          <w:sz w:val="26"/>
          <w:szCs w:val="26"/>
          <w:rtl/>
        </w:rPr>
        <w:t>בע"מ</w:t>
      </w:r>
      <w:r w:rsidR="00B463CD">
        <w:rPr>
          <w:b/>
          <w:bCs/>
          <w:sz w:val="26"/>
          <w:szCs w:val="26"/>
        </w:rPr>
        <w:t>xxx</w:t>
      </w:r>
    </w:p>
    <w:p w:rsidR="002418DD" w:rsidRPr="002418DD" w:rsidRDefault="00357A85">
      <w:pPr>
        <w:rPr>
          <w:b/>
          <w:bCs/>
          <w:sz w:val="26"/>
          <w:szCs w:val="26"/>
          <w:rtl/>
        </w:rPr>
      </w:pPr>
      <w:r w:rsidRPr="002418DD">
        <w:rPr>
          <w:b/>
          <w:bCs/>
          <w:sz w:val="26"/>
          <w:szCs w:val="26"/>
          <w:rtl/>
        </w:rPr>
        <w:tab/>
      </w:r>
      <w:r w:rsidRPr="002418DD">
        <w:rPr>
          <w:b/>
          <w:bCs/>
          <w:sz w:val="26"/>
          <w:szCs w:val="26"/>
          <w:rtl/>
        </w:rPr>
        <w:tab/>
      </w:r>
      <w:r w:rsidRPr="002418DD">
        <w:rPr>
          <w:b/>
          <w:bCs/>
          <w:sz w:val="26"/>
          <w:szCs w:val="26"/>
          <w:rtl/>
        </w:rPr>
        <w:tab/>
      </w:r>
      <w:r w:rsidRPr="002418DD">
        <w:rPr>
          <w:b/>
          <w:bCs/>
          <w:sz w:val="26"/>
          <w:szCs w:val="26"/>
          <w:rtl/>
        </w:rPr>
        <w:tab/>
      </w:r>
      <w:r w:rsidRPr="002418DD">
        <w:rPr>
          <w:rFonts w:hint="cs"/>
          <w:b/>
          <w:bCs/>
          <w:sz w:val="26"/>
          <w:szCs w:val="26"/>
          <w:rtl/>
        </w:rPr>
        <w:t xml:space="preserve">     ע"י ב"כ עו"ד בננסון</w:t>
      </w:r>
    </w:p>
    <w:p w:rsidR="002914D6" w:rsidRPr="002418DD" w:rsidRDefault="002914D6">
      <w:pPr>
        <w:rPr>
          <w:b/>
          <w:bCs/>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D1834">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357A85">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4D2F0F" w:rsidRDefault="00357A85" w:rsidP="00C724B1">
      <w:pPr>
        <w:pStyle w:val="ac"/>
        <w:numPr>
          <w:ilvl w:val="0"/>
          <w:numId w:val="1"/>
        </w:numPr>
        <w:spacing w:line="360" w:lineRule="auto"/>
        <w:ind w:left="567" w:hanging="567"/>
        <w:jc w:val="both"/>
        <w:rPr>
          <w:rFonts w:ascii="David" w:hAnsi="David"/>
          <w:noProof w:val="0"/>
        </w:rPr>
      </w:pPr>
      <w:r>
        <w:rPr>
          <w:rFonts w:ascii="David" w:hAnsi="David"/>
          <w:rtl/>
        </w:rPr>
        <w:t xml:space="preserve">ביום 27.10.21 התקיים בפניי דיון במעמד הצדדים וב"כ ובהתאם לכך ניתנת ההחלטה כעת. </w:t>
      </w:r>
    </w:p>
    <w:p w:rsidR="00C724B1" w:rsidRDefault="00C724B1" w:rsidP="00C724B1">
      <w:pPr>
        <w:pStyle w:val="ac"/>
        <w:spacing w:line="360" w:lineRule="auto"/>
        <w:ind w:left="567"/>
        <w:jc w:val="both"/>
        <w:rPr>
          <w:rFonts w:ascii="David" w:hAnsi="David"/>
          <w:noProof w:val="0"/>
        </w:rPr>
      </w:pPr>
    </w:p>
    <w:p w:rsidR="004D2F0F" w:rsidRDefault="00357A85" w:rsidP="004D2F0F">
      <w:pPr>
        <w:pStyle w:val="ac"/>
        <w:numPr>
          <w:ilvl w:val="0"/>
          <w:numId w:val="1"/>
        </w:numPr>
        <w:spacing w:line="360" w:lineRule="auto"/>
        <w:ind w:left="567" w:hanging="567"/>
        <w:jc w:val="both"/>
        <w:rPr>
          <w:rFonts w:ascii="David" w:hAnsi="David"/>
          <w:noProof w:val="0"/>
        </w:rPr>
      </w:pPr>
      <w:r>
        <w:rPr>
          <w:rFonts w:ascii="David" w:hAnsi="David"/>
          <w:rtl/>
        </w:rPr>
        <w:t>בעניינם של הצדדים הוגשו שני ההל</w:t>
      </w:r>
      <w:r>
        <w:rPr>
          <w:rFonts w:ascii="David" w:hAnsi="David" w:hint="cs"/>
          <w:rtl/>
        </w:rPr>
        <w:t>י</w:t>
      </w:r>
      <w:r>
        <w:rPr>
          <w:rFonts w:ascii="David" w:hAnsi="David"/>
          <w:rtl/>
        </w:rPr>
        <w:t xml:space="preserve">כים הבאים: </w:t>
      </w:r>
    </w:p>
    <w:p w:rsidR="004D2F0F" w:rsidRDefault="00357A85" w:rsidP="00685810">
      <w:pPr>
        <w:spacing w:after="160" w:line="360" w:lineRule="auto"/>
        <w:ind w:left="567"/>
        <w:jc w:val="both"/>
        <w:rPr>
          <w:rFonts w:ascii="David" w:hAnsi="David"/>
          <w:rtl/>
        </w:rPr>
      </w:pPr>
      <w:r w:rsidRPr="004D2F0F">
        <w:rPr>
          <w:rFonts w:ascii="David" w:hAnsi="David"/>
          <w:b/>
          <w:bCs/>
          <w:u w:val="single"/>
          <w:rtl/>
        </w:rPr>
        <w:t xml:space="preserve">תמ"ש: </w:t>
      </w:r>
      <w:r w:rsidRPr="004D2F0F">
        <w:rPr>
          <w:rFonts w:ascii="David" w:hAnsi="David" w:hint="cs"/>
          <w:b/>
          <w:bCs/>
          <w:u w:val="single"/>
          <w:rtl/>
        </w:rPr>
        <w:t>21030-01-21 -</w:t>
      </w:r>
      <w:r w:rsidRPr="004D2F0F">
        <w:rPr>
          <w:rFonts w:ascii="David" w:hAnsi="David"/>
          <w:rtl/>
        </w:rPr>
        <w:t xml:space="preserve"> תביעתו של התובע למתן פסק דין כי הנתבעת חייבת או אחראית למחצית מחוב המס המתייחס לחברת "</w:t>
      </w:r>
      <w:r w:rsidR="003D5798">
        <w:rPr>
          <w:rFonts w:ascii="David" w:hAnsi="David" w:hint="cs"/>
          <w:rtl/>
        </w:rPr>
        <w:t>***</w:t>
      </w:r>
      <w:r w:rsidRPr="004D2F0F">
        <w:rPr>
          <w:rFonts w:ascii="David" w:hAnsi="David"/>
          <w:rtl/>
        </w:rPr>
        <w:t>" עפ"י הסדר עם רשויות המס.</w:t>
      </w:r>
    </w:p>
    <w:p w:rsidR="004D2F0F" w:rsidRDefault="00357A85" w:rsidP="00C724B1">
      <w:pPr>
        <w:spacing w:after="160" w:line="360" w:lineRule="auto"/>
        <w:ind w:left="567"/>
        <w:jc w:val="both"/>
        <w:rPr>
          <w:rFonts w:ascii="David" w:hAnsi="David"/>
          <w:rtl/>
        </w:rPr>
      </w:pPr>
      <w:r w:rsidRPr="004D2F0F">
        <w:rPr>
          <w:rFonts w:ascii="David" w:hAnsi="David" w:hint="cs"/>
          <w:b/>
          <w:bCs/>
          <w:u w:val="single"/>
          <w:rtl/>
        </w:rPr>
        <w:t>תה"ס 46795-05-21</w:t>
      </w:r>
      <w:r>
        <w:rPr>
          <w:rFonts w:ascii="David" w:hAnsi="David" w:hint="cs"/>
          <w:b/>
          <w:bCs/>
          <w:u w:val="single"/>
          <w:rtl/>
        </w:rPr>
        <w:t xml:space="preserve"> -</w:t>
      </w:r>
      <w:r>
        <w:rPr>
          <w:rFonts w:ascii="David" w:hAnsi="David" w:hint="cs"/>
          <w:rtl/>
        </w:rPr>
        <w:t xml:space="preserve"> </w:t>
      </w:r>
      <w:r w:rsidRPr="004D2F0F">
        <w:rPr>
          <w:rFonts w:ascii="David" w:hAnsi="David"/>
          <w:rtl/>
        </w:rPr>
        <w:t xml:space="preserve">תביעתה של התובעת כי הנתבע והחברה בשליטתו ימשיכו ויישאו בתשלום החודשי עפ"י הסכם מיום 12.8.14 בסך של 30,000 ש"ח לחודש, כחלק מתשלומי איזון בין הצדדים. </w:t>
      </w:r>
    </w:p>
    <w:p w:rsidR="006B1A87" w:rsidRPr="004D2F0F" w:rsidRDefault="00357A85" w:rsidP="006B1A87">
      <w:pPr>
        <w:pStyle w:val="ac"/>
        <w:spacing w:line="360" w:lineRule="auto"/>
        <w:ind w:left="567"/>
        <w:jc w:val="center"/>
        <w:rPr>
          <w:rFonts w:ascii="David" w:hAnsi="David"/>
        </w:rPr>
      </w:pPr>
      <w:r>
        <w:rPr>
          <w:rFonts w:ascii="David" w:hAnsi="David" w:hint="cs"/>
          <w:b/>
          <w:bCs/>
          <w:u w:val="single"/>
          <w:rtl/>
        </w:rPr>
        <w:t>החלטה ב</w:t>
      </w:r>
      <w:r w:rsidRPr="004D2F0F">
        <w:rPr>
          <w:rFonts w:ascii="David" w:hAnsi="David"/>
          <w:b/>
          <w:bCs/>
          <w:u w:val="single"/>
          <w:rtl/>
        </w:rPr>
        <w:t>תמ"ש</w:t>
      </w:r>
      <w:r>
        <w:rPr>
          <w:rFonts w:ascii="David" w:hAnsi="David" w:hint="cs"/>
          <w:b/>
          <w:bCs/>
          <w:u w:val="single"/>
          <w:rtl/>
        </w:rPr>
        <w:t xml:space="preserve"> </w:t>
      </w:r>
      <w:r w:rsidRPr="004D2F0F">
        <w:rPr>
          <w:rFonts w:ascii="David" w:hAnsi="David" w:hint="cs"/>
          <w:b/>
          <w:bCs/>
          <w:u w:val="single"/>
          <w:rtl/>
        </w:rPr>
        <w:t>21030-01-21</w:t>
      </w:r>
    </w:p>
    <w:p w:rsidR="000548A5" w:rsidRPr="004D2F0F" w:rsidRDefault="000548A5" w:rsidP="000548A5">
      <w:pPr>
        <w:pStyle w:val="ac"/>
        <w:spacing w:line="360" w:lineRule="auto"/>
        <w:ind w:left="567"/>
        <w:jc w:val="both"/>
        <w:rPr>
          <w:rFonts w:ascii="Arial" w:hAnsi="Arial"/>
          <w:noProof w:val="0"/>
        </w:rPr>
      </w:pPr>
    </w:p>
    <w:p w:rsidR="006B1A87" w:rsidRDefault="00357A85" w:rsidP="006B1A87">
      <w:pPr>
        <w:pStyle w:val="ac"/>
        <w:numPr>
          <w:ilvl w:val="0"/>
          <w:numId w:val="1"/>
        </w:numPr>
        <w:spacing w:line="360" w:lineRule="auto"/>
        <w:ind w:left="567" w:hanging="567"/>
        <w:jc w:val="both"/>
        <w:rPr>
          <w:rFonts w:ascii="David" w:hAnsi="David"/>
        </w:rPr>
      </w:pPr>
      <w:r>
        <w:rPr>
          <w:rFonts w:ascii="David" w:hAnsi="David"/>
          <w:rtl/>
        </w:rPr>
        <w:t xml:space="preserve">קיימת מחלוקת לגבי עצם החיוב ומהדיון עולה כי יש הסכמה לקביעת התיק להוכחות. </w:t>
      </w:r>
    </w:p>
    <w:p w:rsidR="006B1A87" w:rsidRDefault="006B1A87" w:rsidP="006B1A87">
      <w:pPr>
        <w:pStyle w:val="ac"/>
        <w:spacing w:line="360" w:lineRule="auto"/>
        <w:ind w:left="567"/>
        <w:jc w:val="both"/>
        <w:rPr>
          <w:rFonts w:ascii="David" w:hAnsi="David"/>
        </w:rPr>
      </w:pPr>
    </w:p>
    <w:p w:rsidR="006B1A87" w:rsidRDefault="00357A85" w:rsidP="006B1A87">
      <w:pPr>
        <w:pStyle w:val="ac"/>
        <w:numPr>
          <w:ilvl w:val="0"/>
          <w:numId w:val="1"/>
        </w:numPr>
        <w:spacing w:line="360" w:lineRule="auto"/>
        <w:ind w:left="567" w:hanging="567"/>
        <w:jc w:val="both"/>
        <w:rPr>
          <w:rFonts w:ascii="David" w:hAnsi="David"/>
        </w:rPr>
      </w:pPr>
      <w:r>
        <w:rPr>
          <w:rFonts w:ascii="David" w:hAnsi="David" w:hint="cs"/>
          <w:rtl/>
        </w:rPr>
        <w:t xml:space="preserve">על כן </w:t>
      </w:r>
      <w:r>
        <w:rPr>
          <w:rFonts w:ascii="David" w:hAnsi="David"/>
          <w:rtl/>
        </w:rPr>
        <w:t xml:space="preserve">התיק נקבע להוכחות </w:t>
      </w:r>
      <w:r w:rsidRPr="006B1A87">
        <w:rPr>
          <w:rFonts w:ascii="David" w:hAnsi="David"/>
          <w:rtl/>
        </w:rPr>
        <w:t xml:space="preserve"> </w:t>
      </w:r>
      <w:r>
        <w:rPr>
          <w:rFonts w:ascii="David" w:hAnsi="David" w:hint="cs"/>
          <w:rtl/>
        </w:rPr>
        <w:t>לימים 7.7.2022, 10.7.2022 בשני המועדים בין השעות 11:30-14:00.</w:t>
      </w:r>
    </w:p>
    <w:p w:rsidR="006B1A87" w:rsidRDefault="006B1A87" w:rsidP="006B1A87">
      <w:pPr>
        <w:pStyle w:val="ac"/>
        <w:spacing w:line="360" w:lineRule="auto"/>
        <w:ind w:left="567"/>
        <w:jc w:val="both"/>
        <w:rPr>
          <w:rFonts w:ascii="David" w:hAnsi="David"/>
        </w:rPr>
      </w:pPr>
    </w:p>
    <w:p w:rsidR="006B1A87" w:rsidRDefault="00357A85" w:rsidP="006B1A87">
      <w:pPr>
        <w:pStyle w:val="ac"/>
        <w:numPr>
          <w:ilvl w:val="0"/>
          <w:numId w:val="1"/>
        </w:numPr>
        <w:spacing w:line="360" w:lineRule="auto"/>
        <w:ind w:left="567" w:hanging="567"/>
        <w:jc w:val="both"/>
        <w:rPr>
          <w:rFonts w:ascii="David" w:hAnsi="David"/>
        </w:rPr>
      </w:pPr>
      <w:r w:rsidRPr="006B1A87">
        <w:rPr>
          <w:rFonts w:ascii="David" w:hAnsi="David"/>
          <w:rtl/>
        </w:rPr>
        <w:t xml:space="preserve">התובע </w:t>
      </w:r>
      <w:r>
        <w:rPr>
          <w:rFonts w:ascii="David" w:hAnsi="David"/>
          <w:rtl/>
        </w:rPr>
        <w:t>יגיש תצהירי עדות ראשית עד ליום</w:t>
      </w:r>
      <w:r w:rsidRPr="006B1A87">
        <w:rPr>
          <w:rFonts w:ascii="David" w:hAnsi="David"/>
          <w:rtl/>
        </w:rPr>
        <w:t xml:space="preserve"> </w:t>
      </w:r>
      <w:r>
        <w:rPr>
          <w:rFonts w:ascii="David" w:hAnsi="David" w:hint="cs"/>
          <w:rtl/>
        </w:rPr>
        <w:t>1.4.2022</w:t>
      </w:r>
      <w:r w:rsidRPr="006B1A87">
        <w:rPr>
          <w:rFonts w:ascii="David" w:hAnsi="David"/>
          <w:rtl/>
        </w:rPr>
        <w:t>.</w:t>
      </w:r>
    </w:p>
    <w:p w:rsidR="006B1A87" w:rsidRDefault="006B1A87" w:rsidP="006B1A87">
      <w:pPr>
        <w:pStyle w:val="ac"/>
        <w:spacing w:line="360" w:lineRule="auto"/>
        <w:ind w:left="567"/>
        <w:jc w:val="both"/>
        <w:rPr>
          <w:rFonts w:ascii="David" w:hAnsi="David"/>
        </w:rPr>
      </w:pPr>
    </w:p>
    <w:p w:rsidR="006B1A87" w:rsidRDefault="00357A85" w:rsidP="006B1A87">
      <w:pPr>
        <w:pStyle w:val="ac"/>
        <w:numPr>
          <w:ilvl w:val="0"/>
          <w:numId w:val="1"/>
        </w:numPr>
        <w:spacing w:line="360" w:lineRule="auto"/>
        <w:ind w:left="567" w:hanging="567"/>
        <w:jc w:val="both"/>
        <w:rPr>
          <w:rFonts w:ascii="David" w:hAnsi="David"/>
        </w:rPr>
      </w:pPr>
      <w:r w:rsidRPr="006B1A87">
        <w:rPr>
          <w:rFonts w:ascii="David" w:hAnsi="David"/>
          <w:rtl/>
        </w:rPr>
        <w:t xml:space="preserve">הנתבעת תגיש תצהירי עדות ראשית עד ליום </w:t>
      </w:r>
      <w:r w:rsidRPr="006B1A87">
        <w:rPr>
          <w:rFonts w:ascii="David" w:hAnsi="David" w:hint="cs"/>
          <w:rtl/>
        </w:rPr>
        <w:t>1.6.2022.</w:t>
      </w:r>
    </w:p>
    <w:p w:rsidR="006B1A87" w:rsidRDefault="006B1A87" w:rsidP="006B1A87">
      <w:pPr>
        <w:pStyle w:val="ac"/>
        <w:spacing w:line="360" w:lineRule="auto"/>
        <w:ind w:left="567"/>
        <w:jc w:val="both"/>
        <w:rPr>
          <w:rFonts w:ascii="David" w:hAnsi="David"/>
          <w:rtl/>
        </w:rPr>
      </w:pPr>
    </w:p>
    <w:p w:rsidR="006B1A87" w:rsidRPr="006B1A87" w:rsidRDefault="00357A85" w:rsidP="006B1A87">
      <w:pPr>
        <w:pStyle w:val="ac"/>
        <w:spacing w:line="360" w:lineRule="auto"/>
        <w:ind w:left="567"/>
        <w:jc w:val="center"/>
        <w:rPr>
          <w:rFonts w:ascii="David" w:hAnsi="David"/>
          <w:b/>
          <w:bCs/>
          <w:u w:val="single"/>
          <w:rtl/>
        </w:rPr>
      </w:pPr>
      <w:r>
        <w:rPr>
          <w:rFonts w:ascii="David" w:hAnsi="David" w:hint="cs"/>
          <w:b/>
          <w:bCs/>
          <w:u w:val="single"/>
          <w:rtl/>
        </w:rPr>
        <w:t>החלטה בתה"ס 46975-05-21</w:t>
      </w:r>
    </w:p>
    <w:p w:rsidR="006B1A87" w:rsidRPr="006B1A87" w:rsidRDefault="006B1A87" w:rsidP="006B1A87">
      <w:pPr>
        <w:pStyle w:val="ac"/>
        <w:spacing w:line="360" w:lineRule="auto"/>
        <w:ind w:left="567"/>
        <w:jc w:val="both"/>
        <w:rPr>
          <w:rFonts w:ascii="David" w:hAnsi="David"/>
        </w:rPr>
      </w:pPr>
    </w:p>
    <w:p w:rsidR="00E812A8" w:rsidRDefault="00357A85" w:rsidP="00685810">
      <w:pPr>
        <w:pStyle w:val="ac"/>
        <w:numPr>
          <w:ilvl w:val="0"/>
          <w:numId w:val="1"/>
        </w:numPr>
        <w:spacing w:line="360" w:lineRule="auto"/>
        <w:ind w:left="567" w:hanging="567"/>
        <w:jc w:val="both"/>
        <w:rPr>
          <w:rFonts w:ascii="David" w:hAnsi="David"/>
          <w:noProof w:val="0"/>
        </w:rPr>
      </w:pPr>
      <w:r>
        <w:rPr>
          <w:rFonts w:ascii="David" w:hAnsi="David"/>
          <w:rtl/>
        </w:rPr>
        <w:t xml:space="preserve">במסגרת הליך זה הוגשה בקשה ע"י התובעת לצירוף חברת </w:t>
      </w:r>
      <w:r w:rsidR="003D5798">
        <w:rPr>
          <w:rFonts w:ascii="David" w:hAnsi="David" w:hint="cs"/>
          <w:rtl/>
        </w:rPr>
        <w:t>***</w:t>
      </w:r>
      <w:r w:rsidR="003D5798">
        <w:rPr>
          <w:rFonts w:ascii="David" w:hAnsi="David"/>
          <w:rtl/>
        </w:rPr>
        <w:t xml:space="preserve"> </w:t>
      </w:r>
      <w:r>
        <w:rPr>
          <w:rFonts w:ascii="David" w:hAnsi="David"/>
          <w:rtl/>
        </w:rPr>
        <w:t>בע"מ כצד להליך</w:t>
      </w:r>
      <w:r>
        <w:rPr>
          <w:rFonts w:ascii="David" w:hAnsi="David" w:hint="cs"/>
          <w:rtl/>
        </w:rPr>
        <w:t xml:space="preserve"> (להלן: "</w:t>
      </w:r>
      <w:r w:rsidRPr="00E812A8">
        <w:rPr>
          <w:rFonts w:ascii="David" w:hAnsi="David" w:hint="cs"/>
          <w:b/>
          <w:bCs/>
          <w:rtl/>
        </w:rPr>
        <w:t>החברה</w:t>
      </w:r>
      <w:r>
        <w:rPr>
          <w:rFonts w:ascii="David" w:hAnsi="David" w:hint="cs"/>
          <w:rtl/>
        </w:rPr>
        <w:t>")</w:t>
      </w:r>
      <w:r>
        <w:rPr>
          <w:rFonts w:ascii="David" w:hAnsi="David"/>
          <w:rtl/>
        </w:rPr>
        <w:t xml:space="preserve">. </w:t>
      </w:r>
    </w:p>
    <w:p w:rsidR="00E812A8" w:rsidRDefault="00E812A8" w:rsidP="00E812A8">
      <w:pPr>
        <w:pStyle w:val="ac"/>
        <w:spacing w:line="360" w:lineRule="auto"/>
        <w:ind w:left="567"/>
        <w:jc w:val="both"/>
        <w:rPr>
          <w:rFonts w:ascii="David" w:hAnsi="David"/>
          <w:noProof w:val="0"/>
        </w:rPr>
      </w:pPr>
    </w:p>
    <w:p w:rsidR="002260BB" w:rsidRDefault="00357A85" w:rsidP="002260BB">
      <w:pPr>
        <w:pStyle w:val="ac"/>
        <w:numPr>
          <w:ilvl w:val="0"/>
          <w:numId w:val="1"/>
        </w:numPr>
        <w:spacing w:line="360" w:lineRule="auto"/>
        <w:ind w:left="567" w:hanging="567"/>
        <w:jc w:val="both"/>
        <w:rPr>
          <w:rFonts w:ascii="David" w:hAnsi="David"/>
        </w:rPr>
      </w:pPr>
      <w:r>
        <w:rPr>
          <w:rFonts w:ascii="David" w:hAnsi="David"/>
          <w:rtl/>
        </w:rPr>
        <w:t xml:space="preserve">הצדדים חתמו על הסכם גירושין ביום ה12.08.2014 אשר אושר ע"י בית הדין הרבני ביום 2.9.2014. </w:t>
      </w:r>
      <w:r w:rsidRPr="002260BB">
        <w:rPr>
          <w:rFonts w:ascii="David" w:hAnsi="David"/>
          <w:rtl/>
        </w:rPr>
        <w:t xml:space="preserve">בסעיף 7 להסכם הגירושין קבעו הצדדים כי מניות </w:t>
      </w:r>
      <w:r>
        <w:rPr>
          <w:rFonts w:ascii="David" w:hAnsi="David" w:hint="cs"/>
          <w:rtl/>
        </w:rPr>
        <w:t>החברה</w:t>
      </w:r>
      <w:r w:rsidRPr="002260BB">
        <w:rPr>
          <w:rFonts w:ascii="David" w:hAnsi="David"/>
          <w:rtl/>
        </w:rPr>
        <w:t xml:space="preserve"> הן נכס משותף</w:t>
      </w:r>
      <w:r w:rsidR="00E72CB1">
        <w:rPr>
          <w:rFonts w:ascii="David" w:hAnsi="David" w:hint="cs"/>
          <w:rtl/>
        </w:rPr>
        <w:t>,</w:t>
      </w:r>
      <w:r w:rsidRPr="002260BB">
        <w:rPr>
          <w:rFonts w:ascii="David" w:hAnsi="David"/>
          <w:rtl/>
        </w:rPr>
        <w:t xml:space="preserve"> והזכויות בהן יהיו כמפורט בהסכם שצורף כנספח א' להסכם הגירושין. </w:t>
      </w:r>
    </w:p>
    <w:p w:rsidR="002260BB" w:rsidRPr="002260BB" w:rsidRDefault="002260BB" w:rsidP="002260BB">
      <w:pPr>
        <w:pStyle w:val="ac"/>
        <w:rPr>
          <w:rFonts w:ascii="David" w:hAnsi="David"/>
          <w:rtl/>
        </w:rPr>
      </w:pPr>
    </w:p>
    <w:p w:rsidR="002260BB" w:rsidRPr="002260BB" w:rsidRDefault="00357A85" w:rsidP="002260BB">
      <w:pPr>
        <w:pStyle w:val="ac"/>
        <w:numPr>
          <w:ilvl w:val="0"/>
          <w:numId w:val="1"/>
        </w:numPr>
        <w:spacing w:line="360" w:lineRule="auto"/>
        <w:ind w:left="567" w:hanging="567"/>
        <w:jc w:val="both"/>
        <w:rPr>
          <w:rFonts w:ascii="David" w:hAnsi="David"/>
        </w:rPr>
      </w:pPr>
      <w:r>
        <w:rPr>
          <w:rFonts w:ascii="David" w:hAnsi="David" w:hint="cs"/>
          <w:rtl/>
        </w:rPr>
        <w:t xml:space="preserve">ההסכם בנספח א' להסכם הגירושין הוא הסכם שבין הצדדים לבין החברה. </w:t>
      </w:r>
      <w:r w:rsidRPr="002260BB">
        <w:rPr>
          <w:rFonts w:ascii="David" w:hAnsi="David"/>
          <w:rtl/>
        </w:rPr>
        <w:t>ההסכם הסדיר את מערכת היחסים שבין הצדדים לבין החברה.</w:t>
      </w:r>
    </w:p>
    <w:p w:rsidR="002260BB" w:rsidRDefault="00357A85" w:rsidP="002260BB">
      <w:pPr>
        <w:pStyle w:val="ac"/>
        <w:spacing w:line="360" w:lineRule="auto"/>
        <w:ind w:left="567"/>
        <w:jc w:val="both"/>
        <w:rPr>
          <w:rFonts w:ascii="David" w:hAnsi="David"/>
        </w:rPr>
      </w:pPr>
      <w:r>
        <w:rPr>
          <w:rFonts w:ascii="David" w:hAnsi="David"/>
          <w:rtl/>
        </w:rPr>
        <w:t xml:space="preserve">בסעיף 1 להסכם נקבע כי לתובעת זכות לקבל 49% ממניות החברה. </w:t>
      </w:r>
    </w:p>
    <w:p w:rsidR="002260BB" w:rsidRPr="002260BB" w:rsidRDefault="00357A85" w:rsidP="002260BB">
      <w:pPr>
        <w:pStyle w:val="ac"/>
        <w:spacing w:line="360" w:lineRule="auto"/>
        <w:ind w:left="567"/>
        <w:jc w:val="both"/>
        <w:rPr>
          <w:rFonts w:ascii="David" w:hAnsi="David"/>
        </w:rPr>
      </w:pPr>
      <w:r>
        <w:rPr>
          <w:rFonts w:ascii="David" w:hAnsi="David"/>
          <w:rtl/>
        </w:rPr>
        <w:t xml:space="preserve">בסעיף 2 להסכם נקבע כי הנתבע יהיה אחראי על כל הניהול הפעיל של החברה ובכלל זה, זכויות חתימה והעסקת עובדים. </w:t>
      </w:r>
      <w:r w:rsidRPr="002260BB">
        <w:rPr>
          <w:rFonts w:ascii="David" w:hAnsi="David"/>
          <w:rtl/>
        </w:rPr>
        <w:t xml:space="preserve">באותו סעיף נקבע, כי התובעת היא יועצת של החברה ותמשיך לתת לחברה שירותי ייעוץ ועיצוב. </w:t>
      </w:r>
    </w:p>
    <w:p w:rsidR="002260BB" w:rsidRDefault="00357A85" w:rsidP="002260BB">
      <w:pPr>
        <w:pStyle w:val="ac"/>
        <w:spacing w:line="360" w:lineRule="auto"/>
        <w:ind w:left="567"/>
        <w:jc w:val="both"/>
        <w:rPr>
          <w:rFonts w:ascii="David" w:hAnsi="David"/>
          <w:rtl/>
        </w:rPr>
      </w:pPr>
      <w:r>
        <w:rPr>
          <w:rFonts w:ascii="David" w:hAnsi="David"/>
          <w:rtl/>
        </w:rPr>
        <w:t>סעיף 3 להסכם שבין הצדדים לחברה</w:t>
      </w:r>
      <w:r>
        <w:rPr>
          <w:rFonts w:ascii="David" w:hAnsi="David" w:hint="cs"/>
          <w:rtl/>
        </w:rPr>
        <w:t xml:space="preserve"> שכותרתו: "</w:t>
      </w:r>
      <w:r w:rsidRPr="002260BB">
        <w:rPr>
          <w:rFonts w:ascii="David" w:hAnsi="David" w:hint="cs"/>
          <w:b/>
          <w:bCs/>
          <w:rtl/>
        </w:rPr>
        <w:t>תשלום דמי ניהול</w:t>
      </w:r>
      <w:r>
        <w:rPr>
          <w:rFonts w:ascii="David" w:hAnsi="David" w:hint="cs"/>
          <w:rtl/>
        </w:rPr>
        <w:t>"</w:t>
      </w:r>
      <w:r>
        <w:rPr>
          <w:rFonts w:ascii="David" w:hAnsi="David"/>
          <w:rtl/>
        </w:rPr>
        <w:t xml:space="preserve">, </w:t>
      </w:r>
      <w:r>
        <w:rPr>
          <w:rFonts w:ascii="David" w:hAnsi="David" w:hint="cs"/>
          <w:b/>
          <w:bCs/>
          <w:rtl/>
        </w:rPr>
        <w:t xml:space="preserve">שהוא הסעיף שבמוקד התביעה </w:t>
      </w:r>
      <w:r w:rsidRPr="002260BB">
        <w:rPr>
          <w:rFonts w:ascii="David" w:hAnsi="David" w:hint="cs"/>
          <w:rtl/>
        </w:rPr>
        <w:t>דנן</w:t>
      </w:r>
      <w:r>
        <w:rPr>
          <w:rFonts w:ascii="David" w:hAnsi="David" w:hint="cs"/>
          <w:rtl/>
        </w:rPr>
        <w:t xml:space="preserve">, </w:t>
      </w:r>
      <w:r w:rsidRPr="002260BB">
        <w:rPr>
          <w:rFonts w:ascii="David" w:hAnsi="David"/>
          <w:rtl/>
        </w:rPr>
        <w:t>קובע</w:t>
      </w:r>
      <w:r>
        <w:rPr>
          <w:rFonts w:ascii="David" w:hAnsi="David"/>
          <w:rtl/>
        </w:rPr>
        <w:t xml:space="preserve"> כדלקמן: </w:t>
      </w:r>
      <w:r>
        <w:rPr>
          <w:rFonts w:ascii="David" w:hAnsi="David" w:hint="cs"/>
          <w:rtl/>
        </w:rPr>
        <w:t>"</w:t>
      </w:r>
      <w:r w:rsidRPr="00E72CB1">
        <w:rPr>
          <w:rFonts w:ascii="David" w:hAnsi="David" w:hint="cs"/>
          <w:b/>
          <w:bCs/>
          <w:rtl/>
        </w:rPr>
        <w:t xml:space="preserve">3.1 </w:t>
      </w:r>
      <w:r w:rsidRPr="00E72CB1">
        <w:rPr>
          <w:rFonts w:ascii="David" w:hAnsi="David"/>
          <w:b/>
          <w:bCs/>
          <w:rtl/>
        </w:rPr>
        <w:t xml:space="preserve">מוסכם בזאת כי </w:t>
      </w:r>
      <w:r w:rsidR="00F156C3">
        <w:rPr>
          <w:rFonts w:ascii="David" w:hAnsi="David" w:hint="cs"/>
          <w:b/>
          <w:bCs/>
          <w:rtl/>
        </w:rPr>
        <w:t>אלמונית ופלוני</w:t>
      </w:r>
      <w:r w:rsidRPr="00E72CB1">
        <w:rPr>
          <w:rFonts w:ascii="David" w:hAnsi="David"/>
          <w:b/>
          <w:bCs/>
          <w:rtl/>
        </w:rPr>
        <w:t xml:space="preserve"> יקבלו כל אחד, דמי ניהול חודשיים בעלות של 30,000 ש"ח לחודש. </w:t>
      </w:r>
      <w:r w:rsidRPr="00E72CB1">
        <w:rPr>
          <w:rFonts w:ascii="David" w:hAnsi="David" w:hint="cs"/>
          <w:b/>
          <w:bCs/>
          <w:rtl/>
        </w:rPr>
        <w:t xml:space="preserve">3.2 </w:t>
      </w:r>
      <w:r w:rsidR="00F156C3">
        <w:rPr>
          <w:rFonts w:ascii="David" w:hAnsi="David" w:hint="cs"/>
          <w:b/>
          <w:bCs/>
          <w:rtl/>
        </w:rPr>
        <w:t>אלמונית ופלוני</w:t>
      </w:r>
      <w:r w:rsidRPr="00E72CB1">
        <w:rPr>
          <w:rFonts w:ascii="David" w:hAnsi="David"/>
          <w:b/>
          <w:bCs/>
          <w:rtl/>
        </w:rPr>
        <w:t xml:space="preserve"> יוכלו למשוך מהחברה את דמי הניהול הנ"ל כתלוש משכורת או כנגד חשבונית, לפי בחירתם</w:t>
      </w:r>
      <w:r>
        <w:rPr>
          <w:rFonts w:ascii="David" w:hAnsi="David"/>
          <w:rtl/>
        </w:rPr>
        <w:t xml:space="preserve">". </w:t>
      </w:r>
    </w:p>
    <w:p w:rsidR="002260BB" w:rsidRPr="002260BB" w:rsidRDefault="002260BB" w:rsidP="002260BB">
      <w:pPr>
        <w:spacing w:line="360" w:lineRule="auto"/>
        <w:jc w:val="both"/>
        <w:rPr>
          <w:rFonts w:ascii="David" w:hAnsi="David"/>
        </w:rPr>
      </w:pPr>
    </w:p>
    <w:p w:rsidR="00885F8C" w:rsidRDefault="00357A85" w:rsidP="00885F8C">
      <w:pPr>
        <w:pStyle w:val="ac"/>
        <w:numPr>
          <w:ilvl w:val="0"/>
          <w:numId w:val="1"/>
        </w:numPr>
        <w:spacing w:line="360" w:lineRule="auto"/>
        <w:ind w:left="567" w:hanging="567"/>
        <w:jc w:val="both"/>
        <w:rPr>
          <w:rFonts w:ascii="David" w:hAnsi="David"/>
          <w:noProof w:val="0"/>
        </w:rPr>
      </w:pPr>
      <w:r>
        <w:rPr>
          <w:rFonts w:ascii="David" w:hAnsi="David"/>
          <w:noProof w:val="0"/>
          <w:rtl/>
        </w:rPr>
        <w:t>אין מחלוקת כי מאז אישור ההסכם</w:t>
      </w:r>
      <w:r w:rsidR="00E72CB1">
        <w:rPr>
          <w:rFonts w:ascii="David" w:hAnsi="David" w:hint="cs"/>
          <w:noProof w:val="0"/>
          <w:rtl/>
        </w:rPr>
        <w:t xml:space="preserve"> בשנת 2014</w:t>
      </w:r>
      <w:r>
        <w:rPr>
          <w:rFonts w:ascii="David" w:hAnsi="David"/>
          <w:noProof w:val="0"/>
          <w:rtl/>
        </w:rPr>
        <w:t xml:space="preserve"> הועברו הכספים בהתאם לאמור בו</w:t>
      </w:r>
      <w:r w:rsidR="00E72CB1">
        <w:rPr>
          <w:rFonts w:ascii="David" w:hAnsi="David" w:hint="cs"/>
          <w:noProof w:val="0"/>
          <w:rtl/>
        </w:rPr>
        <w:t>, ואין גם מחלוקת (והתובעת הצהירה על כך גם בהליך הקשור כי היא עבדה בחברה)</w:t>
      </w:r>
      <w:r>
        <w:rPr>
          <w:rFonts w:ascii="David" w:hAnsi="David"/>
          <w:noProof w:val="0"/>
          <w:rtl/>
        </w:rPr>
        <w:t xml:space="preserve">. בחודש </w:t>
      </w:r>
      <w:r>
        <w:rPr>
          <w:rFonts w:ascii="David" w:hAnsi="David" w:hint="cs"/>
          <w:noProof w:val="0"/>
          <w:rtl/>
        </w:rPr>
        <w:t>3/2020</w:t>
      </w:r>
      <w:r>
        <w:rPr>
          <w:rFonts w:ascii="David" w:hAnsi="David"/>
          <w:noProof w:val="0"/>
          <w:rtl/>
        </w:rPr>
        <w:t xml:space="preserve"> ועם פרוץ מגפת הקורונה שלחה </w:t>
      </w:r>
      <w:r w:rsidRPr="00885F8C">
        <w:rPr>
          <w:rFonts w:ascii="David" w:hAnsi="David"/>
          <w:noProof w:val="0"/>
          <w:u w:val="single"/>
          <w:rtl/>
        </w:rPr>
        <w:t>החברה</w:t>
      </w:r>
      <w:r>
        <w:rPr>
          <w:rFonts w:ascii="David" w:hAnsi="David"/>
          <w:noProof w:val="0"/>
          <w:rtl/>
        </w:rPr>
        <w:t xml:space="preserve"> לתובעת מכתב על הוצאתה לחל"ת החל מיום 1.4.20 (צורף כנספח 3 לכתב התביעה). </w:t>
      </w:r>
      <w:r w:rsidRPr="00885F8C">
        <w:rPr>
          <w:rFonts w:ascii="David" w:hAnsi="David"/>
          <w:noProof w:val="0"/>
          <w:rtl/>
        </w:rPr>
        <w:t xml:space="preserve">בהמשך הוארכה תקופה זו. </w:t>
      </w:r>
    </w:p>
    <w:p w:rsidR="00885F8C" w:rsidRDefault="00885F8C" w:rsidP="00885F8C">
      <w:pPr>
        <w:pStyle w:val="ac"/>
        <w:spacing w:line="360" w:lineRule="auto"/>
        <w:ind w:left="567"/>
        <w:jc w:val="both"/>
        <w:rPr>
          <w:rFonts w:ascii="David" w:hAnsi="David"/>
          <w:noProof w:val="0"/>
        </w:rPr>
      </w:pPr>
    </w:p>
    <w:p w:rsidR="00885F8C" w:rsidRDefault="00357A85" w:rsidP="00125DD1">
      <w:pPr>
        <w:pStyle w:val="ac"/>
        <w:numPr>
          <w:ilvl w:val="0"/>
          <w:numId w:val="1"/>
        </w:numPr>
        <w:spacing w:line="360" w:lineRule="auto"/>
        <w:ind w:left="567" w:hanging="567"/>
        <w:jc w:val="both"/>
        <w:rPr>
          <w:rFonts w:ascii="David" w:hAnsi="David"/>
        </w:rPr>
      </w:pPr>
      <w:r>
        <w:rPr>
          <w:rFonts w:ascii="David" w:hAnsi="David" w:hint="cs"/>
          <w:noProof w:val="0"/>
          <w:rtl/>
        </w:rPr>
        <w:t xml:space="preserve">בתביעה עתרה התובעת כי </w:t>
      </w:r>
      <w:r w:rsidRPr="004D2F0F">
        <w:rPr>
          <w:rFonts w:ascii="David" w:hAnsi="David"/>
          <w:rtl/>
        </w:rPr>
        <w:t>הנתבע והחברה בשליטתו</w:t>
      </w:r>
      <w:r w:rsidR="00125DD1">
        <w:rPr>
          <w:rFonts w:ascii="David" w:hAnsi="David" w:hint="cs"/>
          <w:rtl/>
        </w:rPr>
        <w:t xml:space="preserve"> (כך בלשונה)</w:t>
      </w:r>
      <w:r w:rsidRPr="00125DD1">
        <w:rPr>
          <w:rFonts w:ascii="David" w:hAnsi="David"/>
          <w:rtl/>
        </w:rPr>
        <w:t xml:space="preserve"> ימשיכו ויישאו בתשלום החודשי עפ"י ה</w:t>
      </w:r>
      <w:r w:rsidR="00125DD1">
        <w:rPr>
          <w:rFonts w:ascii="David" w:hAnsi="David" w:hint="cs"/>
          <w:rtl/>
        </w:rPr>
        <w:t>ה</w:t>
      </w:r>
      <w:r w:rsidRPr="00125DD1">
        <w:rPr>
          <w:rFonts w:ascii="David" w:hAnsi="David"/>
          <w:rtl/>
        </w:rPr>
        <w:t xml:space="preserve">סכם בסך של 30,000 ש"ח לחודש, כחלק מתשלומי איזון בין הצדדים. </w:t>
      </w:r>
    </w:p>
    <w:p w:rsidR="006029B3" w:rsidRPr="006029B3" w:rsidRDefault="006029B3" w:rsidP="006029B3">
      <w:pPr>
        <w:pStyle w:val="ac"/>
        <w:rPr>
          <w:rFonts w:ascii="David" w:hAnsi="David"/>
          <w:rtl/>
        </w:rPr>
      </w:pPr>
    </w:p>
    <w:p w:rsidR="006029B3" w:rsidRPr="006029B3" w:rsidRDefault="00357A85" w:rsidP="006029B3">
      <w:pPr>
        <w:pStyle w:val="ac"/>
        <w:numPr>
          <w:ilvl w:val="0"/>
          <w:numId w:val="1"/>
        </w:numPr>
        <w:spacing w:line="360" w:lineRule="auto"/>
        <w:ind w:left="567" w:hanging="567"/>
        <w:jc w:val="both"/>
        <w:rPr>
          <w:rFonts w:ascii="David" w:hAnsi="David"/>
          <w:noProof w:val="0"/>
        </w:rPr>
      </w:pPr>
      <w:r w:rsidRPr="006029B3">
        <w:rPr>
          <w:rFonts w:ascii="David" w:hAnsi="David" w:hint="cs"/>
          <w:b/>
          <w:bCs/>
          <w:noProof w:val="0"/>
          <w:rtl/>
        </w:rPr>
        <w:t xml:space="preserve">התובעת </w:t>
      </w:r>
      <w:r w:rsidRPr="006029B3">
        <w:rPr>
          <w:rFonts w:ascii="David" w:hAnsi="David" w:hint="cs"/>
          <w:noProof w:val="0"/>
          <w:rtl/>
        </w:rPr>
        <w:t xml:space="preserve">טוענת </w:t>
      </w:r>
      <w:r w:rsidRPr="006029B3">
        <w:rPr>
          <w:rFonts w:ascii="David" w:hAnsi="David"/>
          <w:noProof w:val="0"/>
          <w:rtl/>
        </w:rPr>
        <w:t xml:space="preserve">בבקשה לצירוף חברה כי בהתאם לסעיף 6 (ו) לחוק </w:t>
      </w:r>
      <w:r w:rsidRPr="006029B3">
        <w:rPr>
          <w:rFonts w:ascii="David" w:hAnsi="David" w:hint="cs"/>
          <w:noProof w:val="0"/>
          <w:rtl/>
        </w:rPr>
        <w:t>בית המשפט</w:t>
      </w:r>
      <w:r w:rsidRPr="006029B3">
        <w:rPr>
          <w:rFonts w:ascii="David" w:hAnsi="David"/>
          <w:noProof w:val="0"/>
          <w:rtl/>
        </w:rPr>
        <w:t xml:space="preserve"> לענייני משפחה יש להורות על צירוף </w:t>
      </w:r>
      <w:r w:rsidRPr="006029B3">
        <w:rPr>
          <w:rFonts w:ascii="David" w:hAnsi="David" w:hint="cs"/>
          <w:noProof w:val="0"/>
          <w:rtl/>
        </w:rPr>
        <w:t>החברה</w:t>
      </w:r>
      <w:r w:rsidRPr="006029B3">
        <w:rPr>
          <w:rFonts w:ascii="David" w:hAnsi="David"/>
          <w:noProof w:val="0"/>
          <w:rtl/>
        </w:rPr>
        <w:t xml:space="preserve"> כצד להליך. התובעת מציינת כי מדובר בחברה פרטית המוחזקת במלואה ע"י הנתבע. התובעת מציינת כי יש לה עילת תביעה נגד החברה אשר פועלת באמצעות </w:t>
      </w:r>
      <w:r>
        <w:rPr>
          <w:rFonts w:ascii="David" w:hAnsi="David" w:hint="cs"/>
          <w:noProof w:val="0"/>
          <w:rtl/>
        </w:rPr>
        <w:t>הנתבע</w:t>
      </w:r>
      <w:r w:rsidRPr="006029B3">
        <w:rPr>
          <w:rFonts w:ascii="David" w:hAnsi="David"/>
          <w:noProof w:val="0"/>
          <w:rtl/>
        </w:rPr>
        <w:t xml:space="preserve"> ומחזיקה בכספים המגיעים לה עפ"י ההסכם. </w:t>
      </w:r>
      <w:r w:rsidRPr="006029B3">
        <w:rPr>
          <w:rFonts w:ascii="David" w:hAnsi="David" w:hint="cs"/>
          <w:noProof w:val="0"/>
          <w:rtl/>
        </w:rPr>
        <w:t xml:space="preserve">התובעת </w:t>
      </w:r>
      <w:r w:rsidRPr="006029B3">
        <w:rPr>
          <w:rFonts w:ascii="David" w:hAnsi="David"/>
          <w:noProof w:val="0"/>
          <w:rtl/>
        </w:rPr>
        <w:t>מדגישה כי צירוף החברה נדרש על מנת להכריע בסכסוך שבין הצדדים ביעילות ובשלמות.</w:t>
      </w:r>
      <w:r w:rsidRPr="006029B3">
        <w:rPr>
          <w:rFonts w:ascii="David" w:hAnsi="David"/>
          <w:rtl/>
        </w:rPr>
        <w:t xml:space="preserve"> </w:t>
      </w:r>
    </w:p>
    <w:p w:rsidR="00885F8C" w:rsidRPr="00885F8C" w:rsidRDefault="00885F8C" w:rsidP="006029B3">
      <w:pPr>
        <w:pStyle w:val="ac"/>
        <w:spacing w:line="360" w:lineRule="auto"/>
        <w:ind w:left="567"/>
        <w:jc w:val="both"/>
        <w:rPr>
          <w:rFonts w:ascii="David" w:hAnsi="David"/>
          <w:noProof w:val="0"/>
        </w:rPr>
      </w:pPr>
    </w:p>
    <w:p w:rsidR="00AE49E8" w:rsidRPr="00AE49E8" w:rsidRDefault="00357A85" w:rsidP="00AE49E8">
      <w:pPr>
        <w:pStyle w:val="ac"/>
        <w:numPr>
          <w:ilvl w:val="0"/>
          <w:numId w:val="1"/>
        </w:numPr>
        <w:spacing w:line="360" w:lineRule="auto"/>
        <w:ind w:left="567" w:hanging="567"/>
        <w:jc w:val="both"/>
        <w:rPr>
          <w:rFonts w:ascii="David" w:hAnsi="David"/>
        </w:rPr>
      </w:pPr>
      <w:r>
        <w:rPr>
          <w:rFonts w:ascii="David" w:hAnsi="David" w:hint="cs"/>
          <w:b/>
          <w:bCs/>
          <w:rtl/>
        </w:rPr>
        <w:lastRenderedPageBreak/>
        <w:t>הנתבע</w:t>
      </w:r>
      <w:r>
        <w:rPr>
          <w:rFonts w:ascii="David" w:hAnsi="David" w:hint="cs"/>
          <w:rtl/>
        </w:rPr>
        <w:t xml:space="preserve"> </w:t>
      </w:r>
      <w:r w:rsidRPr="00AE49E8">
        <w:rPr>
          <w:rFonts w:ascii="David" w:hAnsi="David"/>
          <w:rtl/>
        </w:rPr>
        <w:t>מתנגד לצירוף החברה</w:t>
      </w:r>
      <w:r>
        <w:rPr>
          <w:rFonts w:ascii="David" w:hAnsi="David" w:hint="cs"/>
          <w:rtl/>
        </w:rPr>
        <w:t xml:space="preserve"> כצד להליך</w:t>
      </w:r>
      <w:r w:rsidRPr="00AE49E8">
        <w:rPr>
          <w:rFonts w:ascii="David" w:hAnsi="David"/>
          <w:rtl/>
        </w:rPr>
        <w:t>. לטענתו של הנתבע עפ"י ההסכם אין הוא חייב בתשלומים</w:t>
      </w:r>
      <w:r w:rsidR="00E72CB1">
        <w:rPr>
          <w:rFonts w:ascii="David" w:hAnsi="David" w:hint="cs"/>
          <w:rtl/>
        </w:rPr>
        <w:t>,</w:t>
      </w:r>
      <w:r w:rsidRPr="00AE49E8">
        <w:rPr>
          <w:rFonts w:ascii="David" w:hAnsi="David"/>
          <w:rtl/>
        </w:rPr>
        <w:t xml:space="preserve"> ועל התובעת ככל שהיא חפצה להגיש תביעה לבית הדין לעבודה כלפי החברה כמעסיקה שלה</w:t>
      </w:r>
      <w:r>
        <w:rPr>
          <w:rFonts w:ascii="David" w:hAnsi="David" w:hint="cs"/>
          <w:rtl/>
        </w:rPr>
        <w:t>,</w:t>
      </w:r>
      <w:r w:rsidRPr="00AE49E8">
        <w:rPr>
          <w:rFonts w:ascii="David" w:hAnsi="David"/>
          <w:rtl/>
        </w:rPr>
        <w:t xml:space="preserve"> על כך שלא שילמה את המשכורת השו</w:t>
      </w:r>
      <w:r>
        <w:rPr>
          <w:rFonts w:ascii="David" w:hAnsi="David" w:hint="cs"/>
          <w:rtl/>
        </w:rPr>
        <w:t>ט</w:t>
      </w:r>
      <w:r w:rsidRPr="00AE49E8">
        <w:rPr>
          <w:rFonts w:ascii="David" w:hAnsi="David"/>
          <w:rtl/>
        </w:rPr>
        <w:t xml:space="preserve">פת בה התחייבה כלפיה בהסכם </w:t>
      </w:r>
      <w:r w:rsidRPr="00E72CB1">
        <w:rPr>
          <w:rFonts w:ascii="David" w:hAnsi="David"/>
          <w:u w:val="single"/>
          <w:rtl/>
        </w:rPr>
        <w:t>בינ</w:t>
      </w:r>
      <w:r w:rsidRPr="00E72CB1">
        <w:rPr>
          <w:rFonts w:ascii="David" w:hAnsi="David" w:hint="cs"/>
          <w:u w:val="single"/>
          <w:rtl/>
        </w:rPr>
        <w:t>י</w:t>
      </w:r>
      <w:r w:rsidRPr="00E72CB1">
        <w:rPr>
          <w:rFonts w:ascii="David" w:hAnsi="David"/>
          <w:u w:val="single"/>
          <w:rtl/>
        </w:rPr>
        <w:t>הן</w:t>
      </w:r>
      <w:r>
        <w:rPr>
          <w:rFonts w:ascii="David" w:hAnsi="David" w:hint="cs"/>
          <w:rtl/>
        </w:rPr>
        <w:t xml:space="preserve"> </w:t>
      </w:r>
      <w:r w:rsidRPr="00AE49E8">
        <w:rPr>
          <w:rFonts w:ascii="David" w:hAnsi="David"/>
          <w:rtl/>
        </w:rPr>
        <w:t>(סעיף 5 לתגובת הנתבע)</w:t>
      </w:r>
      <w:r>
        <w:rPr>
          <w:rFonts w:ascii="David" w:hAnsi="David" w:hint="cs"/>
          <w:rtl/>
        </w:rPr>
        <w:t>.</w:t>
      </w:r>
      <w:r w:rsidRPr="00AE49E8">
        <w:rPr>
          <w:rFonts w:ascii="David" w:hAnsi="David"/>
          <w:rtl/>
        </w:rPr>
        <w:t xml:space="preserve"> לטענת הנתבע קיימת הצדקה לאי תשלום לתובעת משום שלא עבדה בפועל ולא העניקה שירותים לחברה. הנתבע מדגיש כי עילת התביעה הינה אך ורק כלפי </w:t>
      </w:r>
      <w:r w:rsidRPr="00E72CB1">
        <w:rPr>
          <w:rFonts w:ascii="David" w:hAnsi="David"/>
          <w:u w:val="single"/>
          <w:rtl/>
        </w:rPr>
        <w:t>החברה</w:t>
      </w:r>
      <w:r w:rsidRPr="00AE49E8">
        <w:rPr>
          <w:rFonts w:ascii="David" w:hAnsi="David"/>
          <w:rtl/>
        </w:rPr>
        <w:t xml:space="preserve"> ולא כלפיו. והיותו בעל מניות אינה מקנה לתובעת זכות תביעה כלפיו. </w:t>
      </w:r>
    </w:p>
    <w:p w:rsidR="006029B3" w:rsidRPr="006029B3" w:rsidRDefault="006029B3" w:rsidP="006029B3">
      <w:pPr>
        <w:pStyle w:val="ac"/>
        <w:rPr>
          <w:rFonts w:ascii="David" w:hAnsi="David"/>
          <w:rtl/>
        </w:rPr>
      </w:pPr>
    </w:p>
    <w:p w:rsidR="00AE49E8" w:rsidRPr="00AE49E8" w:rsidRDefault="00357A85" w:rsidP="00453181">
      <w:pPr>
        <w:pStyle w:val="ac"/>
        <w:numPr>
          <w:ilvl w:val="0"/>
          <w:numId w:val="1"/>
        </w:numPr>
        <w:spacing w:after="160" w:line="360" w:lineRule="auto"/>
        <w:ind w:left="567" w:hanging="567"/>
        <w:jc w:val="both"/>
        <w:rPr>
          <w:rFonts w:ascii="David" w:hAnsi="David"/>
        </w:rPr>
      </w:pPr>
      <w:r w:rsidRPr="00AE49E8">
        <w:rPr>
          <w:rFonts w:ascii="David" w:hAnsi="David" w:hint="cs"/>
          <w:b/>
          <w:bCs/>
          <w:rtl/>
        </w:rPr>
        <w:t xml:space="preserve">החברה </w:t>
      </w:r>
      <w:r w:rsidRPr="00AE49E8">
        <w:rPr>
          <w:rFonts w:ascii="David" w:hAnsi="David"/>
          <w:rtl/>
        </w:rPr>
        <w:t>מתנגדת לצירופה להליך. החברה טוענת כי הסמכות לדון בהליך היא לבית הדין לעבודה. לטענת החברה, סע</w:t>
      </w:r>
      <w:r w:rsidR="00E72CB1">
        <w:rPr>
          <w:rFonts w:ascii="David" w:hAnsi="David"/>
          <w:rtl/>
        </w:rPr>
        <w:t>יף 3 להסכם שכותרתו: "דמי ניהול"</w:t>
      </w:r>
      <w:r w:rsidRPr="00AE49E8">
        <w:rPr>
          <w:rFonts w:ascii="David" w:hAnsi="David"/>
          <w:rtl/>
        </w:rPr>
        <w:t xml:space="preserve">, קבע למעשה את תשלום </w:t>
      </w:r>
      <w:r w:rsidRPr="00AE49E8">
        <w:rPr>
          <w:rFonts w:ascii="David" w:hAnsi="David"/>
          <w:u w:val="single"/>
          <w:rtl/>
        </w:rPr>
        <w:t>השכר</w:t>
      </w:r>
      <w:r w:rsidRPr="00AE49E8">
        <w:rPr>
          <w:rFonts w:ascii="David" w:hAnsi="David"/>
          <w:rtl/>
        </w:rPr>
        <w:t xml:space="preserve"> שתקבל התובעת בגין היותה </w:t>
      </w:r>
      <w:r w:rsidRPr="00E72CB1">
        <w:rPr>
          <w:rFonts w:ascii="David" w:hAnsi="David"/>
          <w:u w:val="single"/>
          <w:rtl/>
        </w:rPr>
        <w:t>עובדת</w:t>
      </w:r>
      <w:r w:rsidRPr="00AE49E8">
        <w:rPr>
          <w:rFonts w:ascii="David" w:hAnsi="David"/>
          <w:rtl/>
        </w:rPr>
        <w:t xml:space="preserve"> של החברה. החברה מציינת בסעיף 13 לתגובתה, כי בשל כך העבירה לתובעת משכורת כמוסכם מידי חודש בחודשו. ב"כ החברה ציין בדיון כי מדובר בסכסוך הקשור להסכם הגירושין.</w:t>
      </w:r>
      <w:r w:rsidRPr="00AE49E8">
        <w:rPr>
          <w:rFonts w:ascii="David" w:hAnsi="David" w:hint="cs"/>
          <w:rtl/>
        </w:rPr>
        <w:t xml:space="preserve"> </w:t>
      </w:r>
      <w:r w:rsidRPr="00AE49E8">
        <w:rPr>
          <w:rFonts w:ascii="David" w:hAnsi="David"/>
          <w:rtl/>
        </w:rPr>
        <w:t>לטענת החברה אין מדובר בהתחייבות אישית ואין מקום לנהל את הסכסוך בבית משפט לענייני משפחה</w:t>
      </w:r>
      <w:r w:rsidR="00E72CB1">
        <w:rPr>
          <w:rFonts w:ascii="David" w:hAnsi="David" w:hint="cs"/>
          <w:rtl/>
        </w:rPr>
        <w:t xml:space="preserve"> </w:t>
      </w:r>
      <w:r w:rsidR="00B52993">
        <w:rPr>
          <w:rFonts w:ascii="David" w:hAnsi="David" w:hint="cs"/>
          <w:rtl/>
        </w:rPr>
        <w:t>מאחר והחברה לא קשורה להסכם הגירושין בין הצדדים</w:t>
      </w:r>
      <w:r w:rsidR="00453181">
        <w:rPr>
          <w:rFonts w:ascii="David" w:hAnsi="David" w:hint="cs"/>
          <w:rtl/>
        </w:rPr>
        <w:t xml:space="preserve"> ואין מקום להפוך אותה לחלק מהסכסוך המשפחתי</w:t>
      </w:r>
      <w:r w:rsidRPr="00AE49E8">
        <w:rPr>
          <w:rFonts w:ascii="David" w:hAnsi="David"/>
          <w:rtl/>
        </w:rPr>
        <w:t xml:space="preserve">. </w:t>
      </w:r>
      <w:r w:rsidR="005A5ABE">
        <w:rPr>
          <w:rFonts w:ascii="David" w:hAnsi="David" w:hint="cs"/>
          <w:rtl/>
        </w:rPr>
        <w:t xml:space="preserve">ב"כ החברה מדגיש כי החברה אינה צד להסכם הגירושין בין הצדדים ואין להפוך אותה לצד בו. לטענת החברה לא נלקחה בחשבון יכולת הפרעון של החברה, מצבה והאם עובדים או לא עובדים בחברה לצורך התשלום שנקבע בהסכם. </w:t>
      </w:r>
    </w:p>
    <w:p w:rsidR="00AE49E8" w:rsidRPr="00AE49E8" w:rsidRDefault="00AE49E8" w:rsidP="00AE49E8">
      <w:pPr>
        <w:pStyle w:val="ac"/>
        <w:spacing w:after="160" w:line="360" w:lineRule="auto"/>
        <w:rPr>
          <w:rFonts w:ascii="David" w:hAnsi="David"/>
        </w:rPr>
      </w:pPr>
    </w:p>
    <w:p w:rsidR="00AE49E8" w:rsidRDefault="00357A85" w:rsidP="00AE49E8">
      <w:pPr>
        <w:pStyle w:val="ac"/>
        <w:numPr>
          <w:ilvl w:val="0"/>
          <w:numId w:val="1"/>
        </w:numPr>
        <w:spacing w:line="360" w:lineRule="auto"/>
        <w:ind w:left="567" w:hanging="567"/>
        <w:jc w:val="both"/>
        <w:rPr>
          <w:rFonts w:ascii="David" w:hAnsi="David"/>
          <w:noProof w:val="0"/>
        </w:rPr>
      </w:pPr>
      <w:r w:rsidRPr="00AE49E8">
        <w:rPr>
          <w:rFonts w:ascii="David" w:hAnsi="David"/>
          <w:b/>
          <w:bCs/>
          <w:rtl/>
        </w:rPr>
        <w:t>התובעת</w:t>
      </w:r>
      <w:r>
        <w:rPr>
          <w:rFonts w:ascii="David" w:hAnsi="David"/>
          <w:rtl/>
        </w:rPr>
        <w:t xml:space="preserve"> מדגישה כי התובע הוא בעלים בפועל של 100% בחברה, 50% ישיר ו50% באמצעות חברה אחרת, הוא זה שמקבל את ההחלטות ואחראי לכלל הפעולות בחברה. </w:t>
      </w:r>
      <w:r w:rsidR="00453181">
        <w:rPr>
          <w:rFonts w:ascii="David" w:hAnsi="David" w:hint="cs"/>
          <w:noProof w:val="0"/>
          <w:rtl/>
        </w:rPr>
        <w:t xml:space="preserve">החברה היא </w:t>
      </w:r>
      <w:r w:rsidR="00D27583">
        <w:rPr>
          <w:rFonts w:ascii="David" w:hAnsi="David" w:hint="cs"/>
          <w:noProof w:val="0"/>
          <w:rtl/>
        </w:rPr>
        <w:t xml:space="preserve">צד להסכם, והחברה היא </w:t>
      </w:r>
      <w:r w:rsidR="00453181">
        <w:rPr>
          <w:rFonts w:ascii="David" w:hAnsi="David" w:hint="cs"/>
          <w:noProof w:val="0"/>
          <w:rtl/>
        </w:rPr>
        <w:t xml:space="preserve">שמעבירה את הסכומים שנקבעו בהסכם והסעד שיינתן או לא יינתן ישפיע על החברה, ועל כן הדבר תומך בצירוף החברה לתביעה. </w:t>
      </w:r>
    </w:p>
    <w:p w:rsidR="00AD550E" w:rsidRPr="00AD550E" w:rsidRDefault="00AD550E" w:rsidP="00AD550E">
      <w:pPr>
        <w:pStyle w:val="ac"/>
        <w:rPr>
          <w:rFonts w:ascii="David" w:hAnsi="David"/>
          <w:noProof w:val="0"/>
          <w:rtl/>
        </w:rPr>
      </w:pPr>
    </w:p>
    <w:p w:rsidR="00AD550E" w:rsidRDefault="00357A85" w:rsidP="00AE49E8">
      <w:pPr>
        <w:pStyle w:val="ac"/>
        <w:numPr>
          <w:ilvl w:val="0"/>
          <w:numId w:val="1"/>
        </w:numPr>
        <w:spacing w:line="360" w:lineRule="auto"/>
        <w:ind w:left="567" w:hanging="567"/>
        <w:jc w:val="both"/>
        <w:rPr>
          <w:rFonts w:ascii="David" w:hAnsi="David"/>
          <w:noProof w:val="0"/>
        </w:rPr>
      </w:pPr>
      <w:r>
        <w:rPr>
          <w:rFonts w:ascii="David" w:hAnsi="David" w:hint="cs"/>
          <w:b/>
          <w:bCs/>
          <w:noProof w:val="0"/>
          <w:rtl/>
        </w:rPr>
        <w:t>לאחר בחינת טענות הצדדים, דין הבקשה להתקבל.</w:t>
      </w:r>
    </w:p>
    <w:p w:rsidR="009A74C8" w:rsidRPr="009A74C8" w:rsidRDefault="009A74C8" w:rsidP="009A74C8">
      <w:pPr>
        <w:pStyle w:val="ac"/>
        <w:rPr>
          <w:rFonts w:ascii="David" w:hAnsi="David"/>
          <w:noProof w:val="0"/>
          <w:rtl/>
        </w:rPr>
      </w:pPr>
    </w:p>
    <w:p w:rsidR="00196DF5" w:rsidRPr="006144ED" w:rsidRDefault="00357A85" w:rsidP="006144ED">
      <w:pPr>
        <w:pStyle w:val="ac"/>
        <w:numPr>
          <w:ilvl w:val="0"/>
          <w:numId w:val="1"/>
        </w:numPr>
        <w:spacing w:line="360" w:lineRule="auto"/>
        <w:ind w:left="567" w:hanging="567"/>
        <w:jc w:val="both"/>
        <w:rPr>
          <w:rFonts w:ascii="Arial" w:hAnsi="Arial"/>
          <w:noProof w:val="0"/>
        </w:rPr>
      </w:pPr>
      <w:r w:rsidRPr="006144ED">
        <w:rPr>
          <w:rFonts w:ascii="Arial" w:hAnsi="Arial"/>
          <w:noProof w:val="0"/>
          <w:rtl/>
        </w:rPr>
        <w:t xml:space="preserve">השאלה הניצבת בפניי היא האם צירוף </w:t>
      </w:r>
      <w:r w:rsidR="006144ED" w:rsidRPr="006144ED">
        <w:rPr>
          <w:rFonts w:ascii="Arial" w:hAnsi="Arial" w:hint="cs"/>
          <w:noProof w:val="0"/>
          <w:rtl/>
        </w:rPr>
        <w:t>החברה</w:t>
      </w:r>
      <w:r w:rsidRPr="006144ED">
        <w:rPr>
          <w:rFonts w:ascii="Arial" w:hAnsi="Arial"/>
          <w:noProof w:val="0"/>
          <w:rtl/>
        </w:rPr>
        <w:t xml:space="preserve"> לתביעה עולה בקנה אחד עם סעיף 6(ו) לחוק בית המשפט לענייני משפחה </w:t>
      </w:r>
      <w:r w:rsidRPr="006144ED">
        <w:rPr>
          <w:rFonts w:ascii="David" w:hAnsi="David"/>
          <w:rtl/>
        </w:rPr>
        <w:t xml:space="preserve">התשנ"ה-1995 הקובע כי: </w:t>
      </w:r>
      <w:r w:rsidRPr="006144ED">
        <w:rPr>
          <w:rFonts w:ascii="David" w:hAnsi="David"/>
          <w:b/>
          <w:bCs/>
          <w:rtl/>
        </w:rPr>
        <w:t>"בית המשפט לענייני משפחה רשאי לצרף לתובענה מי שלצורך בירור התובענה והכרעה בסכסוך נדרש שיהיה צד לה"</w:t>
      </w:r>
      <w:r w:rsidRPr="006144ED">
        <w:rPr>
          <w:rFonts w:ascii="David" w:hAnsi="David"/>
          <w:rtl/>
        </w:rPr>
        <w:t>.</w:t>
      </w:r>
    </w:p>
    <w:p w:rsidR="00196DF5" w:rsidRDefault="00357A85" w:rsidP="00196DF5">
      <w:pPr>
        <w:spacing w:line="360" w:lineRule="auto"/>
        <w:rPr>
          <w:rFonts w:ascii="Arial" w:hAnsi="Arial"/>
          <w:noProof w:val="0"/>
          <w:rtl/>
        </w:rPr>
      </w:pPr>
      <w:r>
        <w:rPr>
          <w:rFonts w:ascii="Arial" w:hAnsi="Arial"/>
          <w:noProof w:val="0"/>
          <w:rtl/>
        </w:rPr>
        <w:t xml:space="preserve"> </w:t>
      </w:r>
    </w:p>
    <w:p w:rsidR="00196DF5" w:rsidRDefault="00357A85" w:rsidP="00196DF5">
      <w:pPr>
        <w:pStyle w:val="ac"/>
        <w:numPr>
          <w:ilvl w:val="0"/>
          <w:numId w:val="1"/>
        </w:numPr>
        <w:spacing w:line="360" w:lineRule="auto"/>
        <w:ind w:left="567" w:hanging="567"/>
        <w:jc w:val="both"/>
        <w:rPr>
          <w:rFonts w:ascii="Arial" w:hAnsi="Arial"/>
          <w:noProof w:val="0"/>
        </w:rPr>
      </w:pPr>
      <w:r w:rsidRPr="00F5512A">
        <w:rPr>
          <w:rFonts w:ascii="Arial" w:hAnsi="Arial"/>
          <w:noProof w:val="0"/>
          <w:rtl/>
        </w:rPr>
        <w:t xml:space="preserve">במסגרת </w:t>
      </w:r>
      <w:bookmarkStart w:id="1" w:name="casename_body"/>
      <w:r w:rsidRPr="00F5512A">
        <w:rPr>
          <w:rFonts w:ascii="Arial" w:hAnsi="Arial"/>
          <w:noProof w:val="0"/>
          <w:rtl/>
        </w:rPr>
        <w:t xml:space="preserve">בע"מ  6975/12 </w:t>
      </w:r>
      <w:bookmarkEnd w:id="1"/>
      <w:r w:rsidRPr="00F5512A">
        <w:rPr>
          <w:rFonts w:ascii="Arial" w:hAnsi="Arial"/>
          <w:noProof w:val="0"/>
          <w:rtl/>
        </w:rPr>
        <w:t xml:space="preserve"> </w:t>
      </w:r>
      <w:r w:rsidRPr="00F5512A">
        <w:rPr>
          <w:rFonts w:ascii="Arial" w:hAnsi="Arial" w:cs="Miriam"/>
          <w:noProof w:val="0"/>
          <w:rtl/>
        </w:rPr>
        <w:t xml:space="preserve">ב.ח.מ.ח. ניהול ואחזקות בע"מ נ' עו"ד עופר שפירא כונס נכסים </w:t>
      </w:r>
      <w:r w:rsidRPr="00F5512A">
        <w:rPr>
          <w:rFonts w:ascii="Arial" w:hAnsi="Arial"/>
          <w:noProof w:val="0"/>
          <w:rtl/>
        </w:rPr>
        <w:t>(28.10.2012) סעיף 11 לפסק דינו של כב' השופט דנציגר, משרטט בית המשפט העליון את גדרי השיקולים הנדרשים במסגרת הכרעה לגבי צירוף צדדים שאינם בני משפחה ובפרט חברות בעלת אופי עסקי:</w:t>
      </w:r>
    </w:p>
    <w:p w:rsidR="00F5512A" w:rsidRPr="00F5512A" w:rsidRDefault="00F5512A" w:rsidP="00F5512A">
      <w:pPr>
        <w:pStyle w:val="ac"/>
        <w:rPr>
          <w:rFonts w:ascii="Arial" w:hAnsi="Arial"/>
          <w:noProof w:val="0"/>
          <w:rtl/>
        </w:rPr>
      </w:pPr>
    </w:p>
    <w:p w:rsidR="00F5512A" w:rsidRPr="00F5512A" w:rsidRDefault="00F5512A" w:rsidP="00F5512A">
      <w:pPr>
        <w:pStyle w:val="ac"/>
        <w:spacing w:line="360" w:lineRule="auto"/>
        <w:ind w:left="567"/>
        <w:jc w:val="both"/>
        <w:rPr>
          <w:rFonts w:ascii="Arial" w:hAnsi="Arial"/>
          <w:noProof w:val="0"/>
          <w:rtl/>
        </w:rPr>
      </w:pPr>
    </w:p>
    <w:p w:rsidR="00196DF5" w:rsidRPr="00DF4AA7" w:rsidRDefault="00357A85" w:rsidP="00196DF5">
      <w:pPr>
        <w:pStyle w:val="Ruller40"/>
        <w:tabs>
          <w:tab w:val="left" w:pos="-52"/>
        </w:tabs>
        <w:ind w:left="1440" w:right="1134"/>
        <w:rPr>
          <w:rFonts w:cs="David"/>
          <w:spacing w:val="-2"/>
          <w:sz w:val="24"/>
          <w:szCs w:val="24"/>
          <w:rtl/>
        </w:rPr>
      </w:pPr>
      <w:r w:rsidRPr="00F5512A">
        <w:rPr>
          <w:rFonts w:cs="David"/>
          <w:b/>
          <w:bCs/>
          <w:spacing w:val="-2"/>
          <w:sz w:val="24"/>
          <w:szCs w:val="24"/>
          <w:rtl/>
        </w:rPr>
        <w:lastRenderedPageBreak/>
        <w:t xml:space="preserve">"סעיף 6(ו) מסמיך את בית המשפט לענייני משפחה לשקול האם צירופו של צד שלישי (שאינו "בן משפחה" כהגדרת מונח זה בחוק) נדרש לצורך בירור תובענה שמתנהלת לפניו. ודוק, מדובר בסמכות "לגרור" לתוך תובענה שמתנהלת בבית המשפט לענייני משפחה גם צדדים שאינם "בני משפחה". במסגרת זו </w:t>
      </w:r>
      <w:r w:rsidRPr="00DF4AA7">
        <w:rPr>
          <w:rFonts w:cs="David"/>
          <w:b/>
          <w:bCs/>
          <w:spacing w:val="-2"/>
          <w:sz w:val="24"/>
          <w:szCs w:val="24"/>
          <w:u w:val="single"/>
          <w:rtl/>
        </w:rPr>
        <w:t>על בית המשפט לשקול את התועלת הדיונית שבצירופו של הצד השלישי לתובענה למול הפגיעה שעלולה להיגרם לו כתוצאה מהצירוף, והכול על רקע התכלית המצויה בבסיסו של החוק לרכז בערכאה מקצועית אחת את כל המחלוקות שבין בני משפחה בשים לב לאופיו המיוחד של הסכסוך המשפחתי</w:t>
      </w:r>
      <w:r w:rsidRPr="00F5512A">
        <w:rPr>
          <w:rFonts w:cs="David"/>
          <w:b/>
          <w:bCs/>
          <w:spacing w:val="-2"/>
          <w:sz w:val="24"/>
          <w:szCs w:val="24"/>
          <w:rtl/>
        </w:rPr>
        <w:t xml:space="preserve"> [ראו והשוו: רע"א 6558/99 חבס נ' חבס, פ"ד נד(4) 337 (2000)]. נוכח אופיו של בית המשפט לענייני משפחה כערכאה "מיוחדת" שהוקמה לשם טיפול בסכסוכים משפחתיים, השתרשה בבתי המשפט לענייני משפחה מגמה לפיה השימוש בסמכות הקבועה בסעיף 6(ו) לחוק ייעשה בצמצום ובמשורה [ראו והשוו: שאול שוחט ודוד שאוה </w:t>
      </w:r>
      <w:r w:rsidRPr="00F5512A">
        <w:rPr>
          <w:rFonts w:ascii="Times New Roman" w:hAnsi="Times New Roman" w:cs="David"/>
          <w:b/>
          <w:bCs/>
          <w:spacing w:val="-2"/>
          <w:sz w:val="24"/>
          <w:szCs w:val="24"/>
          <w:rtl/>
        </w:rPr>
        <w:t>סדר הדין בבית המשפט לענייני משפחה</w:t>
      </w:r>
      <w:r w:rsidRPr="00F5512A">
        <w:rPr>
          <w:rFonts w:cs="David"/>
          <w:b/>
          <w:bCs/>
          <w:spacing w:val="-2"/>
          <w:sz w:val="24"/>
          <w:szCs w:val="24"/>
          <w:rtl/>
        </w:rPr>
        <w:t xml:space="preserve"> 261-254 (התש"ע-2009) והדוגמאות המובאות שם מן הפסיקה]. כשלעצמי סבורני – מבלי לקבוע מסמרות בשאלה אם יש לנקוט בעניין זה בגישה א-פריורית של צמצום אם לאו – כי </w:t>
      </w:r>
      <w:r w:rsidRPr="00DF4AA7">
        <w:rPr>
          <w:rFonts w:cs="David"/>
          <w:b/>
          <w:bCs/>
          <w:spacing w:val="-2"/>
          <w:sz w:val="24"/>
          <w:szCs w:val="24"/>
          <w:u w:val="single"/>
          <w:rtl/>
        </w:rPr>
        <w:t>תכליתו של החוק מחייבת שתאגידים וצדדים בעלי אופי "עסקי", אשר אינם בבעלות או ניהול של מי מבני המשפחה ואשר נקלעו לסכסוך בין בני המשפחה בעקיפין, לא יצורפו בקלות לתובענה שמתנהלת בבית המשפט לענייני משפחה, אלא רק במקרים שבהם יהיה בצירופם כדי לייעל את בירור מכלול הסכסוכים בין הצדדים</w:t>
      </w:r>
      <w:r w:rsidRPr="00F5512A">
        <w:rPr>
          <w:rFonts w:cs="David"/>
          <w:b/>
          <w:bCs/>
          <w:spacing w:val="-2"/>
          <w:sz w:val="24"/>
          <w:szCs w:val="24"/>
          <w:rtl/>
        </w:rPr>
        <w:t xml:space="preserve">." </w:t>
      </w:r>
      <w:r w:rsidR="00DF4AA7" w:rsidRPr="00DF4AA7">
        <w:rPr>
          <w:rFonts w:cs="David" w:hint="cs"/>
          <w:spacing w:val="-2"/>
          <w:sz w:val="24"/>
          <w:szCs w:val="24"/>
          <w:rtl/>
        </w:rPr>
        <w:t xml:space="preserve">(ההדגשות בקו </w:t>
      </w:r>
      <w:r w:rsidR="00DF4AA7" w:rsidRPr="00DF4AA7">
        <w:rPr>
          <w:rFonts w:cs="David"/>
          <w:spacing w:val="-2"/>
          <w:sz w:val="24"/>
          <w:szCs w:val="24"/>
          <w:rtl/>
        </w:rPr>
        <w:t>–</w:t>
      </w:r>
      <w:r w:rsidR="00DF4AA7" w:rsidRPr="00DF4AA7">
        <w:rPr>
          <w:rFonts w:cs="David" w:hint="cs"/>
          <w:spacing w:val="-2"/>
          <w:sz w:val="24"/>
          <w:szCs w:val="24"/>
          <w:rtl/>
        </w:rPr>
        <w:t xml:space="preserve"> הוספו).</w:t>
      </w:r>
    </w:p>
    <w:p w:rsidR="00196DF5" w:rsidRDefault="00196DF5" w:rsidP="00196DF5">
      <w:pPr>
        <w:pStyle w:val="ac"/>
        <w:spacing w:line="360" w:lineRule="auto"/>
        <w:ind w:left="567"/>
        <w:jc w:val="both"/>
        <w:rPr>
          <w:noProof w:val="0"/>
          <w:highlight w:val="yellow"/>
          <w:rtl/>
        </w:rPr>
      </w:pPr>
    </w:p>
    <w:p w:rsidR="00196DF5" w:rsidRPr="00DF4AA7" w:rsidRDefault="00357A85" w:rsidP="00DF4AA7">
      <w:pPr>
        <w:pStyle w:val="ac"/>
        <w:numPr>
          <w:ilvl w:val="0"/>
          <w:numId w:val="1"/>
        </w:numPr>
        <w:spacing w:line="360" w:lineRule="auto"/>
        <w:ind w:left="567" w:hanging="567"/>
        <w:jc w:val="both"/>
        <w:rPr>
          <w:rFonts w:ascii="Arial" w:hAnsi="Arial"/>
          <w:noProof w:val="0"/>
        </w:rPr>
      </w:pPr>
      <w:r w:rsidRPr="00DF4AA7">
        <w:rPr>
          <w:rFonts w:ascii="Arial" w:hAnsi="Arial" w:hint="cs"/>
          <w:noProof w:val="0"/>
          <w:rtl/>
        </w:rPr>
        <w:t>העולה מכך</w:t>
      </w:r>
      <w:r w:rsidRPr="00DF4AA7">
        <w:rPr>
          <w:rFonts w:ascii="Arial" w:hAnsi="Arial"/>
          <w:noProof w:val="0"/>
          <w:rtl/>
        </w:rPr>
        <w:t xml:space="preserve"> </w:t>
      </w:r>
      <w:r w:rsidRPr="00DF4AA7">
        <w:rPr>
          <w:rFonts w:ascii="Arial" w:hAnsi="Arial" w:hint="cs"/>
          <w:noProof w:val="0"/>
          <w:rtl/>
        </w:rPr>
        <w:t xml:space="preserve">שיש לשקול </w:t>
      </w:r>
      <w:r w:rsidRPr="00DF4AA7">
        <w:rPr>
          <w:rFonts w:ascii="Arial" w:hAnsi="Arial"/>
          <w:noProof w:val="0"/>
          <w:rtl/>
        </w:rPr>
        <w:t>האם יהיה בצירוף</w:t>
      </w:r>
      <w:r w:rsidRPr="00DF4AA7">
        <w:rPr>
          <w:rFonts w:ascii="Arial" w:hAnsi="Arial" w:hint="cs"/>
          <w:noProof w:val="0"/>
          <w:rtl/>
        </w:rPr>
        <w:t xml:space="preserve"> החברה</w:t>
      </w:r>
      <w:r w:rsidRPr="00DF4AA7">
        <w:rPr>
          <w:rFonts w:ascii="Arial" w:hAnsi="Arial"/>
          <w:noProof w:val="0"/>
          <w:rtl/>
        </w:rPr>
        <w:t xml:space="preserve"> כדי לייעל את בירור מכלול הסכסוך והאם </w:t>
      </w:r>
      <w:r w:rsidRPr="00DF4AA7">
        <w:rPr>
          <w:spacing w:val="-2"/>
          <w:rtl/>
        </w:rPr>
        <w:t>התועלת הדיונית שבצירופ</w:t>
      </w:r>
      <w:r w:rsidRPr="00DF4AA7">
        <w:rPr>
          <w:rFonts w:hint="cs"/>
          <w:spacing w:val="-2"/>
          <w:rtl/>
        </w:rPr>
        <w:t xml:space="preserve">ה </w:t>
      </w:r>
      <w:r w:rsidRPr="00DF4AA7">
        <w:rPr>
          <w:spacing w:val="-2"/>
          <w:rtl/>
        </w:rPr>
        <w:t>של החבר</w:t>
      </w:r>
      <w:r w:rsidRPr="00DF4AA7">
        <w:rPr>
          <w:rFonts w:hint="cs"/>
          <w:spacing w:val="-2"/>
          <w:rtl/>
        </w:rPr>
        <w:t>ה</w:t>
      </w:r>
      <w:r w:rsidRPr="00DF4AA7">
        <w:rPr>
          <w:spacing w:val="-2"/>
          <w:rtl/>
        </w:rPr>
        <w:t xml:space="preserve"> לתובענה עולה על הפגיעה שעלולה להיגרם לה כתוצאה מהצירוף.</w:t>
      </w:r>
    </w:p>
    <w:p w:rsidR="00196DF5" w:rsidRDefault="00196DF5" w:rsidP="00196DF5">
      <w:pPr>
        <w:pStyle w:val="ac"/>
        <w:spacing w:line="360" w:lineRule="auto"/>
        <w:ind w:left="567"/>
        <w:jc w:val="both"/>
        <w:rPr>
          <w:rFonts w:ascii="Arial" w:hAnsi="Arial"/>
          <w:noProof w:val="0"/>
        </w:rPr>
      </w:pPr>
    </w:p>
    <w:p w:rsidR="00196DF5" w:rsidRPr="00DF4AA7" w:rsidRDefault="00357A85" w:rsidP="00DF4AA7">
      <w:pPr>
        <w:pStyle w:val="ac"/>
        <w:numPr>
          <w:ilvl w:val="0"/>
          <w:numId w:val="1"/>
        </w:numPr>
        <w:spacing w:line="360" w:lineRule="auto"/>
        <w:ind w:left="567" w:hanging="567"/>
        <w:jc w:val="both"/>
        <w:rPr>
          <w:rFonts w:ascii="Arial" w:hAnsi="Arial"/>
          <w:noProof w:val="0"/>
        </w:rPr>
      </w:pPr>
      <w:r w:rsidRPr="00DF4AA7">
        <w:rPr>
          <w:rFonts w:ascii="Arial" w:hAnsi="Arial"/>
          <w:noProof w:val="0"/>
          <w:rtl/>
        </w:rPr>
        <w:t xml:space="preserve">יש צורך לשקול האם ניתן יהיה להגיע לבירור התובענה ולהכרעה בסכסוך </w:t>
      </w:r>
      <w:r w:rsidRPr="00DF4AA7">
        <w:rPr>
          <w:rFonts w:ascii="Arial" w:hAnsi="Arial"/>
          <w:noProof w:val="0"/>
          <w:u w:val="single"/>
          <w:rtl/>
        </w:rPr>
        <w:t>ללא</w:t>
      </w:r>
      <w:r w:rsidR="00DF4AA7" w:rsidRPr="00DF4AA7">
        <w:rPr>
          <w:rFonts w:ascii="Arial" w:hAnsi="Arial"/>
          <w:noProof w:val="0"/>
          <w:rtl/>
        </w:rPr>
        <w:t xml:space="preserve"> שהחבר</w:t>
      </w:r>
      <w:r w:rsidR="00DF4AA7" w:rsidRPr="00DF4AA7">
        <w:rPr>
          <w:rFonts w:ascii="Arial" w:hAnsi="Arial" w:hint="cs"/>
          <w:noProof w:val="0"/>
          <w:rtl/>
        </w:rPr>
        <w:t>ה</w:t>
      </w:r>
      <w:r w:rsidRPr="00DF4AA7">
        <w:rPr>
          <w:rFonts w:ascii="Arial" w:hAnsi="Arial"/>
          <w:noProof w:val="0"/>
          <w:rtl/>
        </w:rPr>
        <w:t xml:space="preserve"> </w:t>
      </w:r>
      <w:r w:rsidR="00DF4AA7" w:rsidRPr="00DF4AA7">
        <w:rPr>
          <w:rFonts w:ascii="Arial" w:hAnsi="Arial" w:hint="cs"/>
          <w:noProof w:val="0"/>
          <w:rtl/>
        </w:rPr>
        <w:t>תצורף</w:t>
      </w:r>
      <w:r w:rsidRPr="00DF4AA7">
        <w:rPr>
          <w:rFonts w:ascii="Arial" w:hAnsi="Arial"/>
          <w:noProof w:val="0"/>
          <w:rtl/>
        </w:rPr>
        <w:t xml:space="preserve"> אלא רק יינתנו </w:t>
      </w:r>
      <w:r w:rsidR="00DF4AA7" w:rsidRPr="00DF4AA7">
        <w:rPr>
          <w:rFonts w:ascii="Arial" w:hAnsi="Arial"/>
          <w:noProof w:val="0"/>
          <w:rtl/>
        </w:rPr>
        <w:t>צווים מתאימים המתייחסים אליה</w:t>
      </w:r>
      <w:r w:rsidRPr="00DF4AA7">
        <w:rPr>
          <w:rFonts w:ascii="Arial" w:hAnsi="Arial"/>
          <w:noProof w:val="0"/>
          <w:rtl/>
        </w:rPr>
        <w:t xml:space="preserve">: </w:t>
      </w:r>
    </w:p>
    <w:p w:rsidR="00196DF5" w:rsidRDefault="00196DF5" w:rsidP="00196DF5">
      <w:pPr>
        <w:pStyle w:val="ac"/>
        <w:spacing w:line="360" w:lineRule="auto"/>
        <w:ind w:left="567"/>
        <w:jc w:val="both"/>
        <w:rPr>
          <w:rFonts w:ascii="Arial" w:hAnsi="Arial"/>
          <w:noProof w:val="0"/>
        </w:rPr>
      </w:pPr>
    </w:p>
    <w:p w:rsidR="00196DF5" w:rsidRPr="00DF4AA7" w:rsidRDefault="00357A85" w:rsidP="00196DF5">
      <w:pPr>
        <w:pStyle w:val="Ruller40"/>
        <w:tabs>
          <w:tab w:val="left" w:pos="-52"/>
        </w:tabs>
        <w:ind w:left="1440" w:right="1134"/>
        <w:rPr>
          <w:rFonts w:cs="David"/>
          <w:sz w:val="24"/>
          <w:szCs w:val="24"/>
          <w:rtl/>
        </w:rPr>
      </w:pPr>
      <w:r w:rsidRPr="00DF4AA7">
        <w:rPr>
          <w:rFonts w:cs="David"/>
          <w:sz w:val="24"/>
          <w:szCs w:val="24"/>
          <w:rtl/>
        </w:rPr>
        <w:t xml:space="preserve">"על השיקולים אותם יפעיל בית המשפט לעניני משפחה לצורך עשיית שימוש בסעיף זה עמדתי בתמ"ש 60265/99 בש"א 3879/00 </w:t>
      </w:r>
      <w:r w:rsidRPr="00DF4AA7">
        <w:rPr>
          <w:rFonts w:cs="David"/>
          <w:b/>
          <w:bCs/>
          <w:sz w:val="24"/>
          <w:szCs w:val="24"/>
          <w:rtl/>
        </w:rPr>
        <w:t>צ</w:t>
      </w:r>
      <w:r w:rsidRPr="00DF4AA7">
        <w:rPr>
          <w:rFonts w:cs="David"/>
          <w:b/>
          <w:bCs/>
          <w:sz w:val="24"/>
          <w:szCs w:val="24"/>
          <w:u w:val="single"/>
          <w:rtl/>
        </w:rPr>
        <w:t xml:space="preserve">ויבל נ' צויבל ואח' </w:t>
      </w:r>
      <w:r w:rsidRPr="00DF4AA7">
        <w:rPr>
          <w:rFonts w:cs="David"/>
          <w:sz w:val="24"/>
          <w:szCs w:val="24"/>
          <w:rtl/>
        </w:rPr>
        <w:t>(לא פורסם):</w:t>
      </w:r>
    </w:p>
    <w:p w:rsidR="00196DF5" w:rsidRDefault="00196DF5" w:rsidP="00196DF5">
      <w:pPr>
        <w:pStyle w:val="ac"/>
        <w:spacing w:line="360" w:lineRule="auto"/>
        <w:rPr>
          <w:b/>
          <w:bCs/>
          <w:highlight w:val="yellow"/>
        </w:rPr>
      </w:pPr>
    </w:p>
    <w:p w:rsidR="00196DF5" w:rsidRPr="00DF4AA7" w:rsidRDefault="00357A85" w:rsidP="00196DF5">
      <w:pPr>
        <w:pStyle w:val="Ruller40"/>
        <w:tabs>
          <w:tab w:val="left" w:pos="-52"/>
        </w:tabs>
        <w:ind w:left="1440" w:right="1134"/>
        <w:rPr>
          <w:rFonts w:cs="David"/>
          <w:b/>
          <w:bCs/>
          <w:sz w:val="24"/>
          <w:szCs w:val="24"/>
          <w:rtl/>
        </w:rPr>
      </w:pPr>
      <w:r w:rsidRPr="00DF4AA7">
        <w:rPr>
          <w:rFonts w:cs="David"/>
          <w:b/>
          <w:bCs/>
          <w:sz w:val="24"/>
          <w:szCs w:val="24"/>
          <w:rtl/>
        </w:rPr>
        <w:lastRenderedPageBreak/>
        <w:t xml:space="preserve">"בהפעלת סמכות הצירוף על פי סעיף 6 (ו) לחוק ישקול בית המשפט גם את השאלה, אם הצדק והתועלת בצירופו של הצד השלישי לצורך בירור התובענה וההכרעה בסכסוך, עולים על הפגיעה בענייננו של הצד השלישי שעד לצירופו כלל לא היה צד לתובענה. </w:t>
      </w:r>
      <w:r w:rsidRPr="00DF4AA7">
        <w:rPr>
          <w:rFonts w:cs="David"/>
          <w:b/>
          <w:bCs/>
          <w:sz w:val="24"/>
          <w:szCs w:val="24"/>
          <w:u w:val="single"/>
          <w:rtl/>
        </w:rPr>
        <w:t>על בית המשפט לבחון את השאלה, אם לא ניתן לברר את התובענה ולהכריע בסכסוך ללא נוכחותו של הצד השלישי כבעל דין בה</w:t>
      </w:r>
      <w:r w:rsidRPr="00DF4AA7">
        <w:rPr>
          <w:rFonts w:cs="David"/>
          <w:b/>
          <w:bCs/>
          <w:sz w:val="24"/>
          <w:szCs w:val="24"/>
          <w:rtl/>
        </w:rPr>
        <w:t xml:space="preserve">. </w:t>
      </w:r>
    </w:p>
    <w:p w:rsidR="00196DF5" w:rsidRPr="00DF4AA7" w:rsidRDefault="00357A85" w:rsidP="00196DF5">
      <w:pPr>
        <w:pStyle w:val="Ruller40"/>
        <w:tabs>
          <w:tab w:val="left" w:pos="-52"/>
        </w:tabs>
        <w:ind w:left="1440" w:right="1134"/>
        <w:rPr>
          <w:rFonts w:cs="David"/>
          <w:b/>
          <w:bCs/>
          <w:sz w:val="24"/>
          <w:szCs w:val="24"/>
          <w:rtl/>
        </w:rPr>
      </w:pPr>
      <w:r w:rsidRPr="00DF4AA7">
        <w:rPr>
          <w:rFonts w:cs="David"/>
          <w:b/>
          <w:bCs/>
          <w:sz w:val="24"/>
          <w:szCs w:val="24"/>
          <w:u w:val="single"/>
          <w:rtl/>
        </w:rPr>
        <w:t>במסגרת זו יש לבחון את מידת הפגיעה בענייננו של אותו צד ג' להיות מצורף באופן שאם ניתן להגיע לברור התובענה ולהכרעה בסכסוך שלא על דרך צירופו, כך יש לנהוג גם אם הדבר קשה יותר</w:t>
      </w:r>
      <w:r w:rsidRPr="00DF4AA7">
        <w:rPr>
          <w:rFonts w:cs="David"/>
          <w:b/>
          <w:bCs/>
          <w:sz w:val="24"/>
          <w:szCs w:val="24"/>
          <w:rtl/>
        </w:rPr>
        <w:t>.</w:t>
      </w:r>
    </w:p>
    <w:p w:rsidR="00196DF5" w:rsidRPr="00DF4AA7" w:rsidRDefault="00357A85" w:rsidP="00196DF5">
      <w:pPr>
        <w:pStyle w:val="Ruller40"/>
        <w:tabs>
          <w:tab w:val="left" w:pos="-52"/>
        </w:tabs>
        <w:ind w:left="1440" w:right="1134"/>
        <w:rPr>
          <w:rFonts w:cs="David"/>
          <w:sz w:val="24"/>
          <w:szCs w:val="24"/>
          <w:highlight w:val="yellow"/>
          <w:rtl/>
        </w:rPr>
      </w:pPr>
      <w:r w:rsidRPr="00DF4AA7">
        <w:rPr>
          <w:rFonts w:cs="David"/>
          <w:b/>
          <w:bCs/>
          <w:sz w:val="24"/>
          <w:szCs w:val="24"/>
          <w:rtl/>
        </w:rPr>
        <w:t>הגישה הכוללנית אינטגרטיבית של המחוקק בחקיקת החוק והמוצאת את ביטויה גם בסעיף 6 ו' לחוק, להביא לפתרון כולל של הסכסוך גם אם צדדים שלישיים שאינם בני משפחה מעורבים בו, אינה צריכה לבוא על חשבון הפגיעה בענייננו של אותו צד. אי לכך אין לעשות שימוש נרחב בהוראה זו".</w:t>
      </w:r>
      <w:r w:rsidRPr="00DF4AA7">
        <w:rPr>
          <w:rFonts w:cs="David"/>
          <w:sz w:val="24"/>
          <w:szCs w:val="24"/>
          <w:rtl/>
        </w:rPr>
        <w:t xml:space="preserve"> (שם, ס' 3 לפסה"ד; עמדה זו הובאה לאחרונה בהסכמה בפסק דינו המקיף של כב' השופט דרורי ברמ"ש (י-ם) 4901-05-10 </w:t>
      </w:r>
      <w:r w:rsidRPr="00DF4AA7">
        <w:rPr>
          <w:rFonts w:cs="David"/>
          <w:b/>
          <w:bCs/>
          <w:sz w:val="24"/>
          <w:szCs w:val="24"/>
          <w:rtl/>
        </w:rPr>
        <w:t>עיריית מעלה אדומים נ' פלוני ואח</w:t>
      </w:r>
      <w:r w:rsidRPr="00DF4AA7">
        <w:rPr>
          <w:rFonts w:cs="David"/>
          <w:sz w:val="24"/>
          <w:szCs w:val="24"/>
          <w:rtl/>
        </w:rPr>
        <w:t xml:space="preserve">' (פורסם במאגר נבו). ראו גם בע"מ 6975/12 </w:t>
      </w:r>
      <w:r w:rsidRPr="00DF4AA7">
        <w:rPr>
          <w:rFonts w:cs="David"/>
          <w:b/>
          <w:bCs/>
          <w:sz w:val="24"/>
          <w:szCs w:val="24"/>
          <w:rtl/>
        </w:rPr>
        <w:t>ב.ח.מ.י ניהול אחזקות בע"מ נ' עו"ד עופר שפירא-כונס נכסים</w:t>
      </w:r>
      <w:r w:rsidRPr="00DF4AA7">
        <w:rPr>
          <w:rFonts w:cs="David"/>
          <w:sz w:val="24"/>
          <w:szCs w:val="24"/>
          <w:rtl/>
        </w:rPr>
        <w:t>, מיום 28.10.2012;  ש.שוחט וד. שאוה "</w:t>
      </w:r>
      <w:r w:rsidRPr="00DF4AA7">
        <w:rPr>
          <w:rFonts w:cs="David"/>
          <w:b/>
          <w:bCs/>
          <w:sz w:val="24"/>
          <w:szCs w:val="24"/>
          <w:rtl/>
        </w:rPr>
        <w:t>סדר הדין בבית המשפט לענייני משפחה</w:t>
      </w:r>
      <w:r w:rsidRPr="00DF4AA7">
        <w:rPr>
          <w:rFonts w:cs="David"/>
          <w:sz w:val="24"/>
          <w:szCs w:val="24"/>
          <w:rtl/>
        </w:rPr>
        <w:t>", הוצאות מחשבות, תש"ע-2009, עמ' 254-261).</w:t>
      </w:r>
    </w:p>
    <w:p w:rsidR="00196DF5" w:rsidRDefault="00196DF5" w:rsidP="00196DF5">
      <w:pPr>
        <w:pStyle w:val="ac"/>
        <w:spacing w:line="360" w:lineRule="auto"/>
        <w:rPr>
          <w:highlight w:val="yellow"/>
          <w:rtl/>
        </w:rPr>
      </w:pPr>
    </w:p>
    <w:p w:rsidR="00196DF5" w:rsidRPr="00DF4AA7" w:rsidRDefault="00357A85" w:rsidP="00196DF5">
      <w:pPr>
        <w:pStyle w:val="Ruller40"/>
        <w:tabs>
          <w:tab w:val="left" w:pos="-52"/>
        </w:tabs>
        <w:ind w:left="1440" w:right="1134"/>
        <w:rPr>
          <w:rFonts w:cs="David"/>
          <w:sz w:val="24"/>
          <w:szCs w:val="24"/>
          <w:rtl/>
        </w:rPr>
      </w:pPr>
      <w:r w:rsidRPr="00DF4AA7">
        <w:rPr>
          <w:rFonts w:cs="David"/>
          <w:sz w:val="24"/>
          <w:szCs w:val="24"/>
          <w:rtl/>
        </w:rPr>
        <w:t>בבחינת נחיצות הצד השלישי שצירופו מתבקש לצורך בירור התובענה והכרעה בסכסוך אין בית המשפט יכול להסתפק בכך שכתב התביעה מפרט עילות המופנות במישרין נגד הצד השלישי בכדי שהדבר יהווה עילה מספקת לצירופו – שהרי אם אין הכרח לקשור בין העילה המופנית נגד הצד השלישי ובין העילות המופנות כלפי יתר הנתבעים  וניתן להסתפק בנוכחות של הצד השלישי כעד בהליך, אזי לא מתקיימת הצדקה לצירוף הצד השלישי כצד ( ראו יישום ברמ"ש 4901-05-10, שם)."</w:t>
      </w:r>
      <w:r w:rsidR="00DF4AA7">
        <w:rPr>
          <w:rFonts w:cs="David" w:hint="cs"/>
          <w:sz w:val="24"/>
          <w:szCs w:val="24"/>
          <w:rtl/>
        </w:rPr>
        <w:t xml:space="preserve"> (ההדגשות בקו </w:t>
      </w:r>
      <w:r w:rsidR="00DF4AA7">
        <w:rPr>
          <w:rFonts w:cs="David"/>
          <w:sz w:val="24"/>
          <w:szCs w:val="24"/>
          <w:rtl/>
        </w:rPr>
        <w:t>–</w:t>
      </w:r>
      <w:r w:rsidR="00DF4AA7">
        <w:rPr>
          <w:rFonts w:cs="David" w:hint="cs"/>
          <w:sz w:val="24"/>
          <w:szCs w:val="24"/>
          <w:rtl/>
        </w:rPr>
        <w:t xml:space="preserve"> הוספו).</w:t>
      </w:r>
    </w:p>
    <w:p w:rsidR="00196DF5" w:rsidRPr="00DF4AA7" w:rsidRDefault="00196DF5" w:rsidP="00196DF5">
      <w:pPr>
        <w:pStyle w:val="Ruller40"/>
        <w:tabs>
          <w:tab w:val="left" w:pos="-52"/>
        </w:tabs>
        <w:ind w:left="1440" w:right="1134"/>
        <w:rPr>
          <w:rFonts w:cs="David"/>
          <w:sz w:val="24"/>
          <w:szCs w:val="24"/>
          <w:rtl/>
        </w:rPr>
      </w:pPr>
    </w:p>
    <w:p w:rsidR="00196DF5" w:rsidRDefault="00357A85" w:rsidP="00196DF5">
      <w:pPr>
        <w:pStyle w:val="ac"/>
        <w:spacing w:line="360" w:lineRule="auto"/>
        <w:jc w:val="both"/>
        <w:rPr>
          <w:rtl/>
        </w:rPr>
      </w:pPr>
      <w:r w:rsidRPr="00DF4AA7">
        <w:rPr>
          <w:rtl/>
        </w:rPr>
        <w:t xml:space="preserve">ראה: </w:t>
      </w:r>
      <w:r w:rsidRPr="00DF4AA7">
        <w:rPr>
          <w:noProof w:val="0"/>
          <w:rtl/>
        </w:rPr>
        <w:t>רמ"ש 3802-02-13 ש</w:t>
      </w:r>
      <w:r w:rsidRPr="00DF4AA7">
        <w:rPr>
          <w:rFonts w:cs="Miriam"/>
          <w:noProof w:val="0"/>
          <w:rtl/>
        </w:rPr>
        <w:t>. נ' א. ואח'</w:t>
      </w:r>
      <w:r w:rsidRPr="00DF4AA7">
        <w:rPr>
          <w:noProof w:val="0"/>
          <w:rtl/>
        </w:rPr>
        <w:t xml:space="preserve"> עמ' 4 לפסק דינו של כב' השופט שוחט (21.3.2013)</w:t>
      </w:r>
    </w:p>
    <w:p w:rsidR="00196DF5" w:rsidRDefault="00196DF5" w:rsidP="00196DF5">
      <w:pPr>
        <w:pStyle w:val="ac"/>
        <w:spacing w:line="360" w:lineRule="auto"/>
        <w:ind w:left="567"/>
        <w:jc w:val="both"/>
        <w:rPr>
          <w:rFonts w:ascii="Arial" w:hAnsi="Arial"/>
          <w:noProof w:val="0"/>
          <w:rtl/>
        </w:rPr>
      </w:pPr>
    </w:p>
    <w:p w:rsidR="00196DF5" w:rsidRDefault="00357A85" w:rsidP="00BE2A5E">
      <w:pPr>
        <w:pStyle w:val="ac"/>
        <w:numPr>
          <w:ilvl w:val="0"/>
          <w:numId w:val="1"/>
        </w:numPr>
        <w:spacing w:line="360" w:lineRule="auto"/>
        <w:ind w:left="567" w:hanging="567"/>
        <w:jc w:val="both"/>
        <w:rPr>
          <w:rFonts w:ascii="Arial" w:hAnsi="Arial"/>
          <w:noProof w:val="0"/>
        </w:rPr>
      </w:pPr>
      <w:r w:rsidRPr="00DF4AA7">
        <w:rPr>
          <w:rFonts w:ascii="Arial" w:hAnsi="Arial"/>
          <w:noProof w:val="0"/>
          <w:rtl/>
        </w:rPr>
        <w:t xml:space="preserve">בעניינו ולאחר בחינת טענות הצדדים אני סבורה יש צורך והכרח להורות על צירוף </w:t>
      </w:r>
      <w:r w:rsidR="00DF4AA7" w:rsidRPr="00DF4AA7">
        <w:rPr>
          <w:rFonts w:ascii="Arial" w:hAnsi="Arial" w:hint="cs"/>
          <w:noProof w:val="0"/>
          <w:rtl/>
        </w:rPr>
        <w:t>החברה</w:t>
      </w:r>
      <w:r w:rsidRPr="00DF4AA7">
        <w:rPr>
          <w:rFonts w:ascii="Arial" w:hAnsi="Arial"/>
          <w:noProof w:val="0"/>
          <w:rtl/>
        </w:rPr>
        <w:t xml:space="preserve"> לתובענה. יש טעם לדון במכלול הטענות </w:t>
      </w:r>
      <w:r w:rsidRPr="00DF4AA7">
        <w:rPr>
          <w:rFonts w:ascii="Arial" w:hAnsi="Arial"/>
          <w:noProof w:val="0"/>
          <w:u w:val="single"/>
          <w:rtl/>
        </w:rPr>
        <w:t>כמקשה אחת</w:t>
      </w:r>
      <w:r w:rsidRPr="00DF4AA7">
        <w:rPr>
          <w:rFonts w:ascii="Arial" w:hAnsi="Arial"/>
          <w:noProof w:val="0"/>
          <w:rtl/>
        </w:rPr>
        <w:t xml:space="preserve">, ובפרט לאור </w:t>
      </w:r>
      <w:r w:rsidR="00DF4AA7" w:rsidRPr="00DF4AA7">
        <w:rPr>
          <w:rFonts w:ascii="Arial" w:hAnsi="Arial" w:hint="cs"/>
          <w:noProof w:val="0"/>
          <w:rtl/>
        </w:rPr>
        <w:t xml:space="preserve">העובדה שהחברה הינה צד להסכם שבין הצדדים ובפרט לאור העובדה שאין מחלוקת לגבי תפקידו ושליטתו של הנתבע בחברה. </w:t>
      </w:r>
      <w:r w:rsidRPr="00DF4AA7">
        <w:rPr>
          <w:rFonts w:ascii="Arial" w:hAnsi="Arial"/>
          <w:noProof w:val="0"/>
          <w:rtl/>
        </w:rPr>
        <w:t xml:space="preserve">אין מקום לניהול הליך נפרד הקשור למערכת היחסים שבין הצדדים עצמם </w:t>
      </w:r>
      <w:r w:rsidR="00DF4AA7" w:rsidRPr="00DF4AA7">
        <w:rPr>
          <w:rFonts w:ascii="Arial" w:hAnsi="Arial" w:hint="cs"/>
          <w:noProof w:val="0"/>
          <w:rtl/>
        </w:rPr>
        <w:t>לחברה</w:t>
      </w:r>
      <w:r w:rsidRPr="00DF4AA7">
        <w:rPr>
          <w:rFonts w:ascii="Arial" w:hAnsi="Arial"/>
          <w:noProof w:val="0"/>
          <w:rtl/>
        </w:rPr>
        <w:t xml:space="preserve"> או להפנות את המבקשת לניהול הליך נפרד כלפי </w:t>
      </w:r>
      <w:r w:rsidR="00DF4AA7" w:rsidRPr="00DF4AA7">
        <w:rPr>
          <w:rFonts w:ascii="Arial" w:hAnsi="Arial" w:hint="cs"/>
          <w:noProof w:val="0"/>
          <w:rtl/>
        </w:rPr>
        <w:t>החברה</w:t>
      </w:r>
      <w:r w:rsidRPr="00DF4AA7">
        <w:rPr>
          <w:rFonts w:ascii="Arial" w:hAnsi="Arial"/>
          <w:noProof w:val="0"/>
          <w:rtl/>
        </w:rPr>
        <w:t xml:space="preserve">, שהרי גם באותו הליך נדרש יהיה לברר את אותן הטענות. למקרא הטענות פשיטא של הצדדים ועוד בשלב הזה עולה כי יש יריבות בין המבקשת </w:t>
      </w:r>
      <w:r w:rsidR="00BE2A5E">
        <w:rPr>
          <w:rFonts w:ascii="Arial" w:hAnsi="Arial" w:hint="cs"/>
          <w:noProof w:val="0"/>
          <w:rtl/>
        </w:rPr>
        <w:t>לחברה</w:t>
      </w:r>
      <w:r w:rsidRPr="00DF4AA7">
        <w:rPr>
          <w:rFonts w:ascii="Arial" w:hAnsi="Arial"/>
          <w:noProof w:val="0"/>
          <w:rtl/>
        </w:rPr>
        <w:t xml:space="preserve"> שדורשת בירור במסגרת זו, וכי </w:t>
      </w:r>
      <w:r w:rsidR="00BE2A5E">
        <w:rPr>
          <w:rFonts w:ascii="Arial" w:hAnsi="Arial" w:hint="cs"/>
          <w:noProof w:val="0"/>
          <w:rtl/>
        </w:rPr>
        <w:t xml:space="preserve">החברה </w:t>
      </w:r>
      <w:r w:rsidRPr="00DF4AA7">
        <w:rPr>
          <w:rFonts w:ascii="Arial" w:hAnsi="Arial"/>
          <w:noProof w:val="0"/>
          <w:rtl/>
        </w:rPr>
        <w:t xml:space="preserve">הינן צד דרוש לבירור התובענה על פי סעיף 6(ו) לחוק.  </w:t>
      </w:r>
      <w:r w:rsidR="00BE2A5E">
        <w:rPr>
          <w:rFonts w:ascii="Arial" w:hAnsi="Arial" w:hint="cs"/>
          <w:noProof w:val="0"/>
          <w:rtl/>
        </w:rPr>
        <w:t>לכך יש להוסיף כי דווקא הנתבע בתשובתו לבקשה וכן בכתב ההגנה מפנה את אחריות לתשלום לחברה (ושולל את חבותו האישית). גם בשל כך יש מקום להורות על צירוף החברה ועל מנת שניתן יהיה לברר את הדברים באותה מסגרת.</w:t>
      </w:r>
    </w:p>
    <w:p w:rsidR="00BE2A5E" w:rsidRDefault="00BE2A5E" w:rsidP="00BE2A5E">
      <w:pPr>
        <w:pStyle w:val="ac"/>
        <w:spacing w:line="360" w:lineRule="auto"/>
        <w:ind w:left="567"/>
        <w:jc w:val="both"/>
        <w:rPr>
          <w:rFonts w:ascii="Arial" w:hAnsi="Arial"/>
          <w:noProof w:val="0"/>
        </w:rPr>
      </w:pPr>
    </w:p>
    <w:p w:rsidR="00BE2A5E" w:rsidRDefault="00357A85" w:rsidP="00BE2A5E">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ויודגש, בשל הטענות הנוגעות ישירות להתנהלות החברה, לחברה אמור להיות אינטרס להיות חלק מההליך ומתן האפשרות לחברה להתגונן מפני הטענות. החברה הייתה צד להסכם שבין הצדדים. הנספח הוא חלק בלתי נפרד מהסכם הגירושין והטענה של הנתבע כי מדובר "רק" בנספח, אין לה מקום בעת הזו על מנת לשלול את צירוף החברה. </w:t>
      </w:r>
    </w:p>
    <w:p w:rsidR="00BE2A5E" w:rsidRPr="00BE2A5E" w:rsidRDefault="00BE2A5E" w:rsidP="00BE2A5E">
      <w:pPr>
        <w:pStyle w:val="ac"/>
        <w:rPr>
          <w:rFonts w:ascii="Arial" w:hAnsi="Arial"/>
          <w:noProof w:val="0"/>
          <w:rtl/>
        </w:rPr>
      </w:pPr>
    </w:p>
    <w:p w:rsidR="00BE2A5E" w:rsidRDefault="00357A85" w:rsidP="00BE2A5E">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ויודגש, "עירובה" של החברה אינו כעת לראשונה בשל הסכסוך. החברה הייתה צד להסכם שבין הצדדים באופן ישיר. בהסכם שבין החברה לצדדים נקבעו הוראות לגבי ניהול החברה וזכויות הצדדים בה. בכך הביעו הצדדים והחברה את העמדה לגבי הקשר המשפטי הקשור לעניינים המשפחתיים. </w:t>
      </w:r>
    </w:p>
    <w:p w:rsidR="00BE2A5E" w:rsidRPr="00BE2A5E" w:rsidRDefault="00BE2A5E" w:rsidP="00BE2A5E">
      <w:pPr>
        <w:pStyle w:val="ac"/>
        <w:rPr>
          <w:rFonts w:ascii="Arial" w:hAnsi="Arial"/>
          <w:noProof w:val="0"/>
          <w:rtl/>
        </w:rPr>
      </w:pPr>
    </w:p>
    <w:p w:rsidR="00F51879" w:rsidRDefault="00357A85" w:rsidP="00BE2A5E">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יתרה מכך, הסכסוך כעת הוא סכסוך משפחתי הנובע ישירות מהסכם הגירושין והנספח לו. על כן העילה לדיון נובעת ישירות ממערכת היחסים שבין הצדדים ומההסכמות שהיו במסגרת הסכם הגירושין. </w:t>
      </w:r>
    </w:p>
    <w:p w:rsidR="00F51879" w:rsidRPr="00F51879" w:rsidRDefault="00F51879" w:rsidP="00F51879">
      <w:pPr>
        <w:pStyle w:val="ac"/>
        <w:rPr>
          <w:rFonts w:ascii="Arial" w:hAnsi="Arial"/>
          <w:noProof w:val="0"/>
          <w:rtl/>
        </w:rPr>
      </w:pPr>
    </w:p>
    <w:p w:rsidR="00BE2A5E" w:rsidRPr="00DF4AA7" w:rsidRDefault="00357A85" w:rsidP="00BE2A5E">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בנוסף, העברת הסכסוך לבית הדין לעבודה כפי שעותרת החברה והנתבע עלולה ליצור התדיינות מקבילה באותם נושאים וליצור גם החלטות סותרות. גם בשל ראיה כוללת של יעילות שיפוטית אין לכך מקום. </w:t>
      </w:r>
    </w:p>
    <w:p w:rsidR="00196DF5" w:rsidRPr="00BE2A5E" w:rsidRDefault="00196DF5" w:rsidP="00196DF5">
      <w:pPr>
        <w:spacing w:line="360" w:lineRule="auto"/>
        <w:jc w:val="both"/>
        <w:rPr>
          <w:rFonts w:ascii="Arial" w:hAnsi="Arial"/>
          <w:noProof w:val="0"/>
          <w:rtl/>
        </w:rPr>
      </w:pPr>
    </w:p>
    <w:p w:rsidR="00196DF5" w:rsidRPr="00BE2A5E" w:rsidRDefault="00357A85" w:rsidP="00F51879">
      <w:pPr>
        <w:pStyle w:val="ac"/>
        <w:numPr>
          <w:ilvl w:val="0"/>
          <w:numId w:val="1"/>
        </w:numPr>
        <w:spacing w:line="360" w:lineRule="auto"/>
        <w:ind w:left="567" w:hanging="567"/>
        <w:jc w:val="both"/>
        <w:rPr>
          <w:noProof w:val="0"/>
        </w:rPr>
      </w:pPr>
      <w:r w:rsidRPr="00BE2A5E">
        <w:rPr>
          <w:rFonts w:ascii="Arial" w:hAnsi="Arial"/>
          <w:b/>
          <w:bCs/>
          <w:noProof w:val="0"/>
          <w:rtl/>
        </w:rPr>
        <w:t>הצדק</w:t>
      </w:r>
      <w:r w:rsidRPr="00BE2A5E">
        <w:rPr>
          <w:b/>
          <w:bCs/>
          <w:noProof w:val="0"/>
          <w:rtl/>
        </w:rPr>
        <w:t xml:space="preserve"> והתועלת בצירופ</w:t>
      </w:r>
      <w:r w:rsidR="00BE2A5E">
        <w:rPr>
          <w:rFonts w:hint="cs"/>
          <w:b/>
          <w:bCs/>
          <w:noProof w:val="0"/>
          <w:rtl/>
        </w:rPr>
        <w:t>ה</w:t>
      </w:r>
      <w:r w:rsidRPr="00BE2A5E">
        <w:rPr>
          <w:b/>
          <w:bCs/>
          <w:noProof w:val="0"/>
          <w:rtl/>
        </w:rPr>
        <w:t xml:space="preserve"> של </w:t>
      </w:r>
      <w:r w:rsidR="00BE2A5E">
        <w:rPr>
          <w:rFonts w:hint="cs"/>
          <w:b/>
          <w:bCs/>
          <w:noProof w:val="0"/>
          <w:rtl/>
        </w:rPr>
        <w:t>החברה</w:t>
      </w:r>
      <w:r w:rsidRPr="00BE2A5E">
        <w:rPr>
          <w:b/>
          <w:bCs/>
          <w:noProof w:val="0"/>
          <w:rtl/>
        </w:rPr>
        <w:t xml:space="preserve"> לצורך בירור התובענה וההכרעה בסכסוך, עולים על הפגיעה </w:t>
      </w:r>
      <w:r w:rsidR="00F51879">
        <w:rPr>
          <w:rFonts w:hint="cs"/>
          <w:b/>
          <w:bCs/>
          <w:noProof w:val="0"/>
          <w:rtl/>
        </w:rPr>
        <w:t>בעניינה</w:t>
      </w:r>
      <w:r w:rsidRPr="00BE2A5E">
        <w:rPr>
          <w:b/>
          <w:bCs/>
          <w:noProof w:val="0"/>
          <w:rtl/>
        </w:rPr>
        <w:t xml:space="preserve"> וצירופ</w:t>
      </w:r>
      <w:r w:rsidR="00F51879">
        <w:rPr>
          <w:rFonts w:hint="cs"/>
          <w:b/>
          <w:bCs/>
          <w:noProof w:val="0"/>
          <w:rtl/>
        </w:rPr>
        <w:t>ה</w:t>
      </w:r>
      <w:r w:rsidRPr="00BE2A5E">
        <w:rPr>
          <w:b/>
          <w:bCs/>
          <w:noProof w:val="0"/>
          <w:rtl/>
        </w:rPr>
        <w:t xml:space="preserve"> תורם תרומה רבה להכרעה יעילה ולדיון ראוי בתובענה</w:t>
      </w:r>
      <w:r w:rsidRPr="00BE2A5E">
        <w:rPr>
          <w:noProof w:val="0"/>
          <w:rtl/>
        </w:rPr>
        <w:t>.</w:t>
      </w:r>
    </w:p>
    <w:p w:rsidR="00196DF5" w:rsidRDefault="00196DF5" w:rsidP="00196DF5">
      <w:pPr>
        <w:pStyle w:val="ac"/>
        <w:spacing w:line="360" w:lineRule="auto"/>
        <w:ind w:left="567"/>
        <w:jc w:val="both"/>
        <w:rPr>
          <w:noProof w:val="0"/>
        </w:rPr>
      </w:pPr>
    </w:p>
    <w:p w:rsidR="00196DF5" w:rsidRDefault="00196DF5" w:rsidP="00196DF5">
      <w:pPr>
        <w:pStyle w:val="ac"/>
        <w:spacing w:line="360" w:lineRule="auto"/>
        <w:ind w:left="567"/>
        <w:jc w:val="both"/>
        <w:rPr>
          <w:noProof w:val="0"/>
        </w:rPr>
      </w:pPr>
    </w:p>
    <w:p w:rsidR="00AD550E" w:rsidRPr="00AD550E" w:rsidRDefault="00AD550E" w:rsidP="00AD550E">
      <w:pPr>
        <w:pStyle w:val="ac"/>
        <w:rPr>
          <w:rFonts w:ascii="David" w:hAnsi="David"/>
          <w:noProof w:val="0"/>
          <w:rtl/>
        </w:rPr>
      </w:pPr>
    </w:p>
    <w:p w:rsidR="00AD550E" w:rsidRDefault="00357A85" w:rsidP="00F51879">
      <w:pPr>
        <w:pStyle w:val="ac"/>
        <w:numPr>
          <w:ilvl w:val="0"/>
          <w:numId w:val="1"/>
        </w:numPr>
        <w:spacing w:line="360" w:lineRule="auto"/>
        <w:ind w:left="567" w:hanging="567"/>
        <w:jc w:val="both"/>
        <w:rPr>
          <w:rFonts w:ascii="David" w:hAnsi="David"/>
          <w:noProof w:val="0"/>
        </w:rPr>
      </w:pPr>
      <w:r>
        <w:rPr>
          <w:rFonts w:ascii="David" w:hAnsi="David" w:hint="cs"/>
          <w:noProof w:val="0"/>
          <w:rtl/>
        </w:rPr>
        <w:lastRenderedPageBreak/>
        <w:t xml:space="preserve">ויודגש </w:t>
      </w:r>
      <w:r>
        <w:rPr>
          <w:rFonts w:ascii="David" w:hAnsi="David"/>
          <w:noProof w:val="0"/>
          <w:rtl/>
        </w:rPr>
        <w:t>–</w:t>
      </w:r>
      <w:r>
        <w:rPr>
          <w:rFonts w:ascii="David" w:hAnsi="David" w:hint="cs"/>
          <w:noProof w:val="0"/>
          <w:rtl/>
        </w:rPr>
        <w:t xml:space="preserve"> צירופה של החברה נועד לאפשר לה </w:t>
      </w:r>
      <w:r w:rsidR="00F51879">
        <w:rPr>
          <w:rFonts w:ascii="David" w:hAnsi="David" w:hint="cs"/>
          <w:noProof w:val="0"/>
          <w:rtl/>
        </w:rPr>
        <w:t>ולצדדים</w:t>
      </w:r>
      <w:r>
        <w:rPr>
          <w:rFonts w:ascii="David" w:hAnsi="David" w:hint="cs"/>
          <w:noProof w:val="0"/>
          <w:rtl/>
        </w:rPr>
        <w:t xml:space="preserve"> את יומה בבימ"ש. </w:t>
      </w:r>
      <w:r w:rsidRPr="00F51879">
        <w:rPr>
          <w:rFonts w:ascii="David" w:hAnsi="David" w:hint="cs"/>
          <w:noProof w:val="0"/>
          <w:u w:val="single"/>
          <w:rtl/>
        </w:rPr>
        <w:t>אין</w:t>
      </w:r>
      <w:r>
        <w:rPr>
          <w:rFonts w:ascii="David" w:hAnsi="David" w:hint="cs"/>
          <w:noProof w:val="0"/>
          <w:rtl/>
        </w:rPr>
        <w:t xml:space="preserve"> משמעות צירופה של החברה היעתרות לסעדי התביעה או קבלתה אלא רק עמידה בתנאי החוק לצירופה להליך. צירוף להל</w:t>
      </w:r>
      <w:r w:rsidR="009A74C8">
        <w:rPr>
          <w:rFonts w:ascii="David" w:hAnsi="David" w:hint="cs"/>
          <w:noProof w:val="0"/>
          <w:rtl/>
        </w:rPr>
        <w:t xml:space="preserve">יך הוא ראשיתו של ההליך ובוודאי איננו סופו. מלוא טענות כל הצדדים ייבחנו בהמשך ההליך כסדרן. </w:t>
      </w:r>
    </w:p>
    <w:p w:rsidR="006029B3" w:rsidRPr="00AE49E8" w:rsidRDefault="006029B3" w:rsidP="006029B3">
      <w:pPr>
        <w:pStyle w:val="ac"/>
        <w:rPr>
          <w:rFonts w:ascii="David" w:hAnsi="David"/>
          <w:rtl/>
        </w:rPr>
      </w:pPr>
    </w:p>
    <w:p w:rsidR="006029B3" w:rsidRPr="006D399D" w:rsidRDefault="006029B3" w:rsidP="006029B3">
      <w:pPr>
        <w:pStyle w:val="ac"/>
        <w:spacing w:line="360" w:lineRule="auto"/>
        <w:ind w:left="567"/>
        <w:jc w:val="both"/>
        <w:rPr>
          <w:rFonts w:ascii="David" w:hAnsi="David"/>
        </w:rPr>
      </w:pPr>
    </w:p>
    <w:p w:rsidR="00274E0D" w:rsidRPr="006B1A87" w:rsidRDefault="00357A85" w:rsidP="00DF6463">
      <w:pPr>
        <w:pStyle w:val="ac"/>
        <w:numPr>
          <w:ilvl w:val="0"/>
          <w:numId w:val="1"/>
        </w:numPr>
        <w:spacing w:line="360" w:lineRule="auto"/>
        <w:ind w:left="567" w:hanging="567"/>
        <w:jc w:val="both"/>
        <w:rPr>
          <w:rFonts w:ascii="David" w:hAnsi="David"/>
        </w:rPr>
      </w:pPr>
      <w:r w:rsidRPr="006B1A87">
        <w:rPr>
          <w:b/>
          <w:bCs/>
          <w:noProof w:val="0"/>
          <w:rtl/>
        </w:rPr>
        <w:t>אשר</w:t>
      </w:r>
      <w:r w:rsidRPr="006B1A87">
        <w:rPr>
          <w:rFonts w:ascii="David" w:hAnsi="David"/>
          <w:b/>
          <w:bCs/>
          <w:rtl/>
        </w:rPr>
        <w:t xml:space="preserve"> </w:t>
      </w:r>
      <w:r w:rsidRPr="006B1A87">
        <w:rPr>
          <w:b/>
          <w:bCs/>
          <w:noProof w:val="0"/>
          <w:rtl/>
        </w:rPr>
        <w:t>על</w:t>
      </w:r>
      <w:r w:rsidRPr="006B1A87">
        <w:rPr>
          <w:rFonts w:ascii="David" w:hAnsi="David"/>
          <w:b/>
          <w:bCs/>
          <w:rtl/>
        </w:rPr>
        <w:t xml:space="preserve"> כן, אני מורה על צירוף </w:t>
      </w:r>
      <w:r w:rsidR="006B1A87" w:rsidRPr="006B1A87">
        <w:rPr>
          <w:rFonts w:ascii="David" w:hAnsi="David" w:hint="cs"/>
          <w:b/>
          <w:bCs/>
          <w:rtl/>
        </w:rPr>
        <w:t xml:space="preserve">החברה </w:t>
      </w:r>
      <w:r w:rsidR="006D399D">
        <w:rPr>
          <w:rFonts w:ascii="David" w:hAnsi="David"/>
          <w:b/>
          <w:bCs/>
          <w:rtl/>
        </w:rPr>
        <w:t>כצד</w:t>
      </w:r>
      <w:r w:rsidR="006B1A87" w:rsidRPr="006B1A87">
        <w:rPr>
          <w:rFonts w:ascii="David" w:hAnsi="David" w:hint="cs"/>
          <w:b/>
          <w:bCs/>
          <w:rtl/>
        </w:rPr>
        <w:t xml:space="preserve"> להליך </w:t>
      </w:r>
      <w:r w:rsidRPr="006B1A87">
        <w:rPr>
          <w:rFonts w:ascii="David" w:hAnsi="David"/>
          <w:b/>
          <w:bCs/>
          <w:rtl/>
        </w:rPr>
        <w:t>וכנתבע</w:t>
      </w:r>
      <w:r w:rsidR="006B1A87" w:rsidRPr="006B1A87">
        <w:rPr>
          <w:rFonts w:ascii="David" w:hAnsi="David" w:hint="cs"/>
          <w:b/>
          <w:bCs/>
          <w:rtl/>
        </w:rPr>
        <w:t>ת</w:t>
      </w:r>
      <w:r w:rsidRPr="006B1A87">
        <w:rPr>
          <w:rFonts w:ascii="David" w:hAnsi="David"/>
          <w:b/>
          <w:bCs/>
          <w:rtl/>
        </w:rPr>
        <w:t xml:space="preserve"> בתובענה שבפניי. </w:t>
      </w:r>
      <w:r w:rsidR="006B1A87" w:rsidRPr="006B1A87">
        <w:rPr>
          <w:rFonts w:ascii="David" w:hAnsi="David" w:hint="cs"/>
          <w:b/>
          <w:bCs/>
          <w:rtl/>
        </w:rPr>
        <w:t>החברה תגיש</w:t>
      </w:r>
      <w:r w:rsidRPr="006B1A87">
        <w:rPr>
          <w:rFonts w:ascii="David" w:hAnsi="David"/>
          <w:b/>
          <w:bCs/>
          <w:rtl/>
        </w:rPr>
        <w:t xml:space="preserve"> כתב הגנה בתוך 30 יום. </w:t>
      </w:r>
    </w:p>
    <w:p w:rsidR="006B1A87" w:rsidRPr="006B1A87" w:rsidRDefault="006B1A87" w:rsidP="006B1A87">
      <w:pPr>
        <w:pStyle w:val="ac"/>
        <w:spacing w:line="360" w:lineRule="auto"/>
        <w:ind w:left="567"/>
        <w:jc w:val="both"/>
        <w:rPr>
          <w:rFonts w:ascii="David" w:hAnsi="David"/>
        </w:rPr>
      </w:pPr>
    </w:p>
    <w:p w:rsidR="00274E0D" w:rsidRPr="00274E0D" w:rsidRDefault="00357A85" w:rsidP="00274E0D">
      <w:pPr>
        <w:pStyle w:val="ac"/>
        <w:numPr>
          <w:ilvl w:val="0"/>
          <w:numId w:val="1"/>
        </w:numPr>
        <w:spacing w:line="360" w:lineRule="auto"/>
        <w:ind w:left="567" w:hanging="567"/>
        <w:jc w:val="both"/>
        <w:rPr>
          <w:rFonts w:ascii="David" w:hAnsi="David"/>
        </w:rPr>
      </w:pPr>
      <w:r w:rsidRPr="00274E0D">
        <w:rPr>
          <w:rFonts w:hint="cs"/>
          <w:b/>
          <w:bCs/>
          <w:noProof w:val="0"/>
          <w:rtl/>
        </w:rPr>
        <w:t>נקבע לקד"מ</w:t>
      </w:r>
      <w:r w:rsidR="006D399D">
        <w:rPr>
          <w:rFonts w:hint="cs"/>
          <w:b/>
          <w:bCs/>
          <w:noProof w:val="0"/>
          <w:rtl/>
        </w:rPr>
        <w:t xml:space="preserve"> נוסף</w:t>
      </w:r>
      <w:r w:rsidRPr="00274E0D">
        <w:rPr>
          <w:rFonts w:hint="cs"/>
          <w:b/>
          <w:bCs/>
          <w:noProof w:val="0"/>
          <w:rtl/>
        </w:rPr>
        <w:t xml:space="preserve"> בתה"ס </w:t>
      </w:r>
      <w:r w:rsidRPr="00274E0D">
        <w:rPr>
          <w:rFonts w:hint="cs"/>
          <w:b/>
          <w:bCs/>
          <w:rtl/>
        </w:rPr>
        <w:t>46795-05-21</w:t>
      </w:r>
      <w:r w:rsidR="006B1A87">
        <w:rPr>
          <w:rFonts w:hint="cs"/>
          <w:b/>
          <w:bCs/>
          <w:rtl/>
        </w:rPr>
        <w:t xml:space="preserve"> ליום </w:t>
      </w:r>
      <w:r w:rsidR="006D399D">
        <w:rPr>
          <w:rFonts w:hint="cs"/>
          <w:b/>
          <w:bCs/>
          <w:rtl/>
        </w:rPr>
        <w:t>16.2.2022, 10:00.</w:t>
      </w:r>
    </w:p>
    <w:p w:rsidR="002418DD" w:rsidRPr="00274E0D" w:rsidRDefault="002418DD" w:rsidP="002418DD">
      <w:pPr>
        <w:spacing w:line="360" w:lineRule="auto"/>
        <w:ind w:left="360"/>
        <w:rPr>
          <w:noProof w:val="0"/>
          <w:rtl/>
        </w:rPr>
      </w:pPr>
    </w:p>
    <w:p w:rsidR="00094813" w:rsidRDefault="00094813">
      <w:pPr>
        <w:spacing w:line="360" w:lineRule="auto"/>
        <w:jc w:val="both"/>
        <w:rPr>
          <w:rFonts w:ascii="Arial" w:hAnsi="Arial"/>
          <w:noProof w:val="0"/>
          <w:rtl/>
        </w:rPr>
      </w:pPr>
    </w:p>
    <w:p w:rsidR="00094813" w:rsidRDefault="00094813">
      <w:pPr>
        <w:spacing w:line="360" w:lineRule="auto"/>
        <w:jc w:val="both"/>
        <w:rPr>
          <w:rFonts w:ascii="Arial" w:hAnsi="Arial"/>
          <w:noProof w:val="0"/>
          <w:rtl/>
        </w:rPr>
      </w:pPr>
    </w:p>
    <w:p w:rsidR="002914D6" w:rsidRDefault="00357A85">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כ"ז חשוון תשפ"ב</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02 נובמבר 2021</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EA784F">
      <w:pPr>
        <w:spacing w:line="360" w:lineRule="auto"/>
        <w:ind w:left="3600" w:firstLine="720"/>
        <w:jc w:val="both"/>
      </w:pPr>
      <w:sdt>
        <w:sdtPr>
          <w:rPr>
            <w:rtl/>
          </w:rPr>
          <w:alias w:val="MergeField"/>
          <w:tag w:val="1237"/>
          <w:id w:val="-2038336869"/>
        </w:sdtPr>
        <w:sdtEndPr/>
        <w:sdtContent>
          <w:r w:rsidR="00357A85">
            <w:drawing>
              <wp:inline distT="0" distB="0" distL="0" distR="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7" cstate="print"/>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357A85">
      <w:pPr>
        <w:spacing w:line="360" w:lineRule="auto"/>
        <w:jc w:val="both"/>
        <w:rPr>
          <w:rFonts w:ascii="Arial" w:hAnsi="Arial"/>
          <w:noProof w:val="0"/>
          <w:rtl/>
        </w:rPr>
      </w:pPr>
      <w:r>
        <w:rPr>
          <w:rFonts w:ascii="Arial" w:hAnsi="Arial" w:hint="cs"/>
          <w:noProof w:val="0"/>
          <w:rtl/>
        </w:rPr>
        <w:t>ההחלטה אושרה לפרסום ללא פרטים מזהים ביום 18.9.23.</w:t>
      </w:r>
    </w:p>
    <w:sectPr w:rsidR="002914D6"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84F" w:rsidRDefault="00EA784F">
      <w:r>
        <w:separator/>
      </w:r>
    </w:p>
  </w:endnote>
  <w:endnote w:type="continuationSeparator" w:id="0">
    <w:p w:rsidR="00EA784F" w:rsidRDefault="00EA7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357A85">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741A6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741A60">
      <w:rPr>
        <w:rStyle w:val="ab"/>
        <w:rtl/>
      </w:rPr>
      <w:t>7</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84F" w:rsidRDefault="00EA784F">
      <w:r>
        <w:separator/>
      </w:r>
    </w:p>
  </w:footnote>
  <w:footnote w:type="continuationSeparator" w:id="0">
    <w:p w:rsidR="00EA784F" w:rsidRDefault="00EA7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10844941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49419"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4D1834">
      <w:trPr>
        <w:trHeight w:hRule="exact" w:val="418"/>
        <w:jc w:val="center"/>
      </w:trPr>
      <w:sdt>
        <w:sdtPr>
          <w:rPr>
            <w:rtl/>
          </w:rPr>
          <w:alias w:val="1174"/>
          <w:tag w:val="1174"/>
          <w:id w:val="-1271863099"/>
          <w:text/>
        </w:sdtPr>
        <w:sdtEndPr/>
        <w:sdtContent>
          <w:tc>
            <w:tcPr>
              <w:tcW w:w="8721" w:type="dxa"/>
              <w:gridSpan w:val="2"/>
            </w:tcPr>
            <w:p w:rsidR="002914D6" w:rsidRDefault="00357A85">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4D1834">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4D1834">
      <w:trPr>
        <w:trHeight w:val="337"/>
        <w:jc w:val="center"/>
      </w:trPr>
      <w:tc>
        <w:tcPr>
          <w:tcW w:w="8721" w:type="dxa"/>
          <w:gridSpan w:val="2"/>
        </w:tcPr>
        <w:p w:rsidR="002914D6" w:rsidRDefault="00EA784F">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תמ"ש</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21030-01-21</w:t>
              </w:r>
            </w:sdtContent>
          </w:sdt>
          <w:r w:rsidR="00011212">
            <w:rPr>
              <w:b/>
              <w:bCs/>
              <w:noProof w:val="0"/>
              <w:sz w:val="26"/>
              <w:szCs w:val="26"/>
              <w:rtl/>
            </w:rPr>
            <w:t xml:space="preserve"> </w:t>
          </w:r>
          <w:sdt>
            <w:sdtPr>
              <w:rPr>
                <w:rtl/>
              </w:rPr>
              <w:alias w:val="1172"/>
              <w:tag w:val="1172"/>
              <w:id w:val="-1735694493"/>
              <w:text w:multiLine="1"/>
            </w:sdtPr>
            <w:sdtEndPr/>
            <w:sdtContent>
              <w:r w:rsidR="00F156C3">
                <w:rPr>
                  <w:rFonts w:hint="cs"/>
                  <w:b/>
                  <w:bCs/>
                  <w:noProof w:val="0"/>
                  <w:sz w:val="26"/>
                  <w:szCs w:val="26"/>
                  <w:rtl/>
                </w:rPr>
                <w:t>פלוני</w:t>
              </w:r>
              <w:r w:rsidR="00F156C3">
                <w:rPr>
                  <w:b/>
                  <w:bCs/>
                  <w:noProof w:val="0"/>
                  <w:sz w:val="26"/>
                  <w:szCs w:val="26"/>
                  <w:rtl/>
                </w:rPr>
                <w:t xml:space="preserve"> נ' </w:t>
              </w:r>
              <w:r w:rsidR="00F156C3">
                <w:rPr>
                  <w:rFonts w:hint="cs"/>
                  <w:b/>
                  <w:bCs/>
                  <w:noProof w:val="0"/>
                  <w:sz w:val="26"/>
                  <w:szCs w:val="26"/>
                  <w:rtl/>
                </w:rPr>
                <w:t>פלונית</w:t>
              </w:r>
            </w:sdtContent>
          </w:sdt>
        </w:p>
        <w:p w:rsidR="002914D6" w:rsidRPr="002418DD" w:rsidRDefault="00357A85">
          <w:pPr>
            <w:rPr>
              <w:b/>
              <w:bCs/>
              <w:sz w:val="26"/>
              <w:szCs w:val="26"/>
              <w:rtl/>
            </w:rPr>
          </w:pPr>
          <w:r w:rsidRPr="002418DD">
            <w:rPr>
              <w:rFonts w:hint="cs"/>
              <w:b/>
              <w:bCs/>
              <w:sz w:val="26"/>
              <w:szCs w:val="26"/>
              <w:rtl/>
            </w:rPr>
            <w:t>תה"ס 46795-05-21</w:t>
          </w:r>
        </w:p>
      </w:tc>
    </w:tr>
  </w:tbl>
  <w:p w:rsidR="002914D6" w:rsidRDefault="00357A85">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A81E37"/>
    <w:multiLevelType w:val="hybridMultilevel"/>
    <w:tmpl w:val="98C08A5E"/>
    <w:lvl w:ilvl="0" w:tplc="0F3E2680">
      <w:start w:val="1"/>
      <w:numFmt w:val="decimal"/>
      <w:lvlText w:val="%1."/>
      <w:lvlJc w:val="left"/>
      <w:pPr>
        <w:ind w:left="720" w:hanging="360"/>
      </w:pPr>
    </w:lvl>
    <w:lvl w:ilvl="1" w:tplc="527EFBDE">
      <w:start w:val="1"/>
      <w:numFmt w:val="lowerLetter"/>
      <w:lvlText w:val="%2."/>
      <w:lvlJc w:val="left"/>
      <w:pPr>
        <w:ind w:left="1440" w:hanging="360"/>
      </w:pPr>
    </w:lvl>
    <w:lvl w:ilvl="2" w:tplc="312A9F4E">
      <w:start w:val="1"/>
      <w:numFmt w:val="lowerRoman"/>
      <w:lvlText w:val="%3."/>
      <w:lvlJc w:val="right"/>
      <w:pPr>
        <w:ind w:left="2160" w:hanging="180"/>
      </w:pPr>
    </w:lvl>
    <w:lvl w:ilvl="3" w:tplc="FF00315E">
      <w:start w:val="1"/>
      <w:numFmt w:val="decimal"/>
      <w:lvlText w:val="%4."/>
      <w:lvlJc w:val="left"/>
      <w:pPr>
        <w:ind w:left="2880" w:hanging="360"/>
      </w:pPr>
    </w:lvl>
    <w:lvl w:ilvl="4" w:tplc="4B3C94EE">
      <w:start w:val="1"/>
      <w:numFmt w:val="lowerLetter"/>
      <w:lvlText w:val="%5."/>
      <w:lvlJc w:val="left"/>
      <w:pPr>
        <w:ind w:left="3600" w:hanging="360"/>
      </w:pPr>
    </w:lvl>
    <w:lvl w:ilvl="5" w:tplc="D8AA91BC">
      <w:start w:val="1"/>
      <w:numFmt w:val="lowerRoman"/>
      <w:lvlText w:val="%6."/>
      <w:lvlJc w:val="right"/>
      <w:pPr>
        <w:ind w:left="4320" w:hanging="180"/>
      </w:pPr>
    </w:lvl>
    <w:lvl w:ilvl="6" w:tplc="615A4C56">
      <w:start w:val="1"/>
      <w:numFmt w:val="decimal"/>
      <w:lvlText w:val="%7."/>
      <w:lvlJc w:val="left"/>
      <w:pPr>
        <w:ind w:left="5040" w:hanging="360"/>
      </w:pPr>
    </w:lvl>
    <w:lvl w:ilvl="7" w:tplc="F5CC3292">
      <w:start w:val="1"/>
      <w:numFmt w:val="lowerLetter"/>
      <w:lvlText w:val="%8."/>
      <w:lvlJc w:val="left"/>
      <w:pPr>
        <w:ind w:left="5760" w:hanging="360"/>
      </w:pPr>
    </w:lvl>
    <w:lvl w:ilvl="8" w:tplc="69E6363E">
      <w:start w:val="1"/>
      <w:numFmt w:val="lowerRoman"/>
      <w:lvlText w:val="%9."/>
      <w:lvlJc w:val="right"/>
      <w:pPr>
        <w:ind w:left="6480" w:hanging="180"/>
      </w:pPr>
    </w:lvl>
  </w:abstractNum>
  <w:abstractNum w:abstractNumId="1" w15:restartNumberingAfterBreak="0">
    <w:nsid w:val="38DD23F4"/>
    <w:multiLevelType w:val="hybridMultilevel"/>
    <w:tmpl w:val="CAA47994"/>
    <w:lvl w:ilvl="0" w:tplc="35F2150A">
      <w:start w:val="1"/>
      <w:numFmt w:val="decimal"/>
      <w:lvlText w:val="%1."/>
      <w:lvlJc w:val="left"/>
      <w:pPr>
        <w:ind w:left="720" w:hanging="360"/>
      </w:pPr>
    </w:lvl>
    <w:lvl w:ilvl="1" w:tplc="640486E6">
      <w:start w:val="1"/>
      <w:numFmt w:val="lowerLetter"/>
      <w:lvlText w:val="%2."/>
      <w:lvlJc w:val="left"/>
      <w:pPr>
        <w:ind w:left="1440" w:hanging="360"/>
      </w:pPr>
    </w:lvl>
    <w:lvl w:ilvl="2" w:tplc="A3744B3C">
      <w:start w:val="1"/>
      <w:numFmt w:val="lowerRoman"/>
      <w:lvlText w:val="%3."/>
      <w:lvlJc w:val="right"/>
      <w:pPr>
        <w:ind w:left="2160" w:hanging="180"/>
      </w:pPr>
    </w:lvl>
    <w:lvl w:ilvl="3" w:tplc="93A0CF38">
      <w:start w:val="1"/>
      <w:numFmt w:val="decimal"/>
      <w:lvlText w:val="%4."/>
      <w:lvlJc w:val="left"/>
      <w:pPr>
        <w:ind w:left="2880" w:hanging="360"/>
      </w:pPr>
    </w:lvl>
    <w:lvl w:ilvl="4" w:tplc="398640D8">
      <w:start w:val="1"/>
      <w:numFmt w:val="lowerLetter"/>
      <w:lvlText w:val="%5."/>
      <w:lvlJc w:val="left"/>
      <w:pPr>
        <w:ind w:left="3600" w:hanging="360"/>
      </w:pPr>
    </w:lvl>
    <w:lvl w:ilvl="5" w:tplc="0C92B758">
      <w:start w:val="1"/>
      <w:numFmt w:val="lowerRoman"/>
      <w:lvlText w:val="%6."/>
      <w:lvlJc w:val="right"/>
      <w:pPr>
        <w:ind w:left="4320" w:hanging="180"/>
      </w:pPr>
    </w:lvl>
    <w:lvl w:ilvl="6" w:tplc="25AA47A6">
      <w:start w:val="1"/>
      <w:numFmt w:val="decimal"/>
      <w:lvlText w:val="%7."/>
      <w:lvlJc w:val="left"/>
      <w:pPr>
        <w:ind w:left="5040" w:hanging="360"/>
      </w:pPr>
    </w:lvl>
    <w:lvl w:ilvl="7" w:tplc="2E3ABF26">
      <w:start w:val="1"/>
      <w:numFmt w:val="lowerLetter"/>
      <w:lvlText w:val="%8."/>
      <w:lvlJc w:val="left"/>
      <w:pPr>
        <w:ind w:left="5760" w:hanging="360"/>
      </w:pPr>
    </w:lvl>
    <w:lvl w:ilvl="8" w:tplc="B546AD68">
      <w:start w:val="1"/>
      <w:numFmt w:val="lowerRoman"/>
      <w:lvlText w:val="%9."/>
      <w:lvlJc w:val="right"/>
      <w:pPr>
        <w:ind w:left="6480" w:hanging="180"/>
      </w:pPr>
    </w:lvl>
  </w:abstractNum>
  <w:abstractNum w:abstractNumId="2" w15:restartNumberingAfterBreak="0">
    <w:nsid w:val="77776BF4"/>
    <w:multiLevelType w:val="hybridMultilevel"/>
    <w:tmpl w:val="879A825A"/>
    <w:lvl w:ilvl="0" w:tplc="EECA60C2">
      <w:start w:val="1"/>
      <w:numFmt w:val="decimal"/>
      <w:lvlText w:val="%1."/>
      <w:lvlJc w:val="left"/>
      <w:pPr>
        <w:ind w:left="720" w:hanging="360"/>
      </w:pPr>
    </w:lvl>
    <w:lvl w:ilvl="1" w:tplc="702486CE" w:tentative="1">
      <w:start w:val="1"/>
      <w:numFmt w:val="lowerLetter"/>
      <w:lvlText w:val="%2."/>
      <w:lvlJc w:val="left"/>
      <w:pPr>
        <w:ind w:left="1440" w:hanging="360"/>
      </w:pPr>
    </w:lvl>
    <w:lvl w:ilvl="2" w:tplc="1B805612" w:tentative="1">
      <w:start w:val="1"/>
      <w:numFmt w:val="lowerRoman"/>
      <w:lvlText w:val="%3."/>
      <w:lvlJc w:val="right"/>
      <w:pPr>
        <w:ind w:left="2160" w:hanging="180"/>
      </w:pPr>
    </w:lvl>
    <w:lvl w:ilvl="3" w:tplc="5CB03642" w:tentative="1">
      <w:start w:val="1"/>
      <w:numFmt w:val="decimal"/>
      <w:lvlText w:val="%4."/>
      <w:lvlJc w:val="left"/>
      <w:pPr>
        <w:ind w:left="2880" w:hanging="360"/>
      </w:pPr>
    </w:lvl>
    <w:lvl w:ilvl="4" w:tplc="DEA03B56" w:tentative="1">
      <w:start w:val="1"/>
      <w:numFmt w:val="lowerLetter"/>
      <w:lvlText w:val="%5."/>
      <w:lvlJc w:val="left"/>
      <w:pPr>
        <w:ind w:left="3600" w:hanging="360"/>
      </w:pPr>
    </w:lvl>
    <w:lvl w:ilvl="5" w:tplc="B0CE3E30" w:tentative="1">
      <w:start w:val="1"/>
      <w:numFmt w:val="lowerRoman"/>
      <w:lvlText w:val="%6."/>
      <w:lvlJc w:val="right"/>
      <w:pPr>
        <w:ind w:left="4320" w:hanging="180"/>
      </w:pPr>
    </w:lvl>
    <w:lvl w:ilvl="6" w:tplc="0BDC5078" w:tentative="1">
      <w:start w:val="1"/>
      <w:numFmt w:val="decimal"/>
      <w:lvlText w:val="%7."/>
      <w:lvlJc w:val="left"/>
      <w:pPr>
        <w:ind w:left="5040" w:hanging="360"/>
      </w:pPr>
    </w:lvl>
    <w:lvl w:ilvl="7" w:tplc="8CB0E20A" w:tentative="1">
      <w:start w:val="1"/>
      <w:numFmt w:val="lowerLetter"/>
      <w:lvlText w:val="%8."/>
      <w:lvlJc w:val="left"/>
      <w:pPr>
        <w:ind w:left="5760" w:hanging="360"/>
      </w:pPr>
    </w:lvl>
    <w:lvl w:ilvl="8" w:tplc="57140F9C"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548A5"/>
    <w:rsid w:val="00094813"/>
    <w:rsid w:val="00125DD1"/>
    <w:rsid w:val="0014058F"/>
    <w:rsid w:val="00196DF5"/>
    <w:rsid w:val="001E0EB7"/>
    <w:rsid w:val="002260BB"/>
    <w:rsid w:val="002418DD"/>
    <w:rsid w:val="00242BA8"/>
    <w:rsid w:val="002532A4"/>
    <w:rsid w:val="00274E0D"/>
    <w:rsid w:val="002914D6"/>
    <w:rsid w:val="002F5307"/>
    <w:rsid w:val="00324DE7"/>
    <w:rsid w:val="00357A85"/>
    <w:rsid w:val="003C2B44"/>
    <w:rsid w:val="003C669B"/>
    <w:rsid w:val="003D5798"/>
    <w:rsid w:val="00453181"/>
    <w:rsid w:val="004D1834"/>
    <w:rsid w:val="004D2F0F"/>
    <w:rsid w:val="004E2B03"/>
    <w:rsid w:val="00503A57"/>
    <w:rsid w:val="00530E94"/>
    <w:rsid w:val="005612C8"/>
    <w:rsid w:val="005A5ABE"/>
    <w:rsid w:val="006029B3"/>
    <w:rsid w:val="006144ED"/>
    <w:rsid w:val="00685810"/>
    <w:rsid w:val="006B1A87"/>
    <w:rsid w:val="006D399D"/>
    <w:rsid w:val="00741A60"/>
    <w:rsid w:val="00822AA5"/>
    <w:rsid w:val="00885F8C"/>
    <w:rsid w:val="00942577"/>
    <w:rsid w:val="00946045"/>
    <w:rsid w:val="009A74C8"/>
    <w:rsid w:val="00A54660"/>
    <w:rsid w:val="00A7661B"/>
    <w:rsid w:val="00AD550E"/>
    <w:rsid w:val="00AE49E8"/>
    <w:rsid w:val="00B17A06"/>
    <w:rsid w:val="00B31305"/>
    <w:rsid w:val="00B463CD"/>
    <w:rsid w:val="00B52993"/>
    <w:rsid w:val="00BE2A5E"/>
    <w:rsid w:val="00C214ED"/>
    <w:rsid w:val="00C226D6"/>
    <w:rsid w:val="00C724B1"/>
    <w:rsid w:val="00CE7F78"/>
    <w:rsid w:val="00D27583"/>
    <w:rsid w:val="00DF4AA7"/>
    <w:rsid w:val="00DF6463"/>
    <w:rsid w:val="00E30E54"/>
    <w:rsid w:val="00E3238D"/>
    <w:rsid w:val="00E72CB1"/>
    <w:rsid w:val="00E812A8"/>
    <w:rsid w:val="00EA784F"/>
    <w:rsid w:val="00EC08AF"/>
    <w:rsid w:val="00EF7CEE"/>
    <w:rsid w:val="00F156C3"/>
    <w:rsid w:val="00F50E07"/>
    <w:rsid w:val="00F51879"/>
    <w:rsid w:val="00F5512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2418DD"/>
    <w:pPr>
      <w:ind w:left="720"/>
      <w:contextualSpacing/>
    </w:pPr>
  </w:style>
  <w:style w:type="character" w:customStyle="1" w:styleId="Ruller4">
    <w:name w:val="Ruller4 תו"/>
    <w:link w:val="Ruller40"/>
    <w:uiPriority w:val="99"/>
    <w:locked/>
    <w:rsid w:val="00196DF5"/>
    <w:rPr>
      <w:rFonts w:ascii="Arial TUR" w:hAnsi="Arial TUR" w:cs="Arial TUR"/>
      <w:spacing w:val="10"/>
      <w:sz w:val="28"/>
    </w:rPr>
  </w:style>
  <w:style w:type="paragraph" w:customStyle="1" w:styleId="Ruller40">
    <w:name w:val="Ruller4"/>
    <w:basedOn w:val="a"/>
    <w:link w:val="Ruller4"/>
    <w:uiPriority w:val="99"/>
    <w:rsid w:val="00196DF5"/>
    <w:pPr>
      <w:tabs>
        <w:tab w:val="left" w:pos="800"/>
      </w:tabs>
      <w:overflowPunct w:val="0"/>
      <w:autoSpaceDE w:val="0"/>
      <w:autoSpaceDN w:val="0"/>
      <w:adjustRightInd w:val="0"/>
      <w:spacing w:line="360" w:lineRule="auto"/>
      <w:jc w:val="both"/>
    </w:pPr>
    <w:rPr>
      <w:rFonts w:ascii="Arial TUR" w:hAnsi="Arial TUR" w:cs="Arial TUR"/>
      <w:noProof w:val="0"/>
      <w:spacing w:val="10"/>
      <w:sz w:val="28"/>
      <w:szCs w:val="20"/>
    </w:rPr>
  </w:style>
  <w:style w:type="character" w:styleId="Hyperlink">
    <w:name w:val="Hyperlink"/>
    <w:basedOn w:val="a0"/>
    <w:uiPriority w:val="99"/>
    <w:semiHidden/>
    <w:unhideWhenUsed/>
    <w:rsid w:val="00196DF5"/>
    <w:rPr>
      <w:color w:val="0000FF"/>
      <w:u w:val="single"/>
    </w:rPr>
  </w:style>
  <w:style w:type="paragraph" w:styleId="ad">
    <w:name w:val="Revision"/>
    <w:hidden/>
    <w:uiPriority w:val="99"/>
    <w:semiHidden/>
    <w:rsid w:val="00F156C3"/>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1736</Words>
  <Characters>8682</Characters>
  <Application>Microsoft Office Word</Application>
  <DocSecurity>0</DocSecurity>
  <Lines>72</Lines>
  <Paragraphs>20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מוטי גולן</dc:creator>
  <cp:lastModifiedBy>אסתר טטרואשילי</cp:lastModifiedBy>
  <cp:revision>2</cp:revision>
  <dcterms:created xsi:type="dcterms:W3CDTF">2023-10-26T10:17:00Z</dcterms:created>
  <dcterms:modified xsi:type="dcterms:W3CDTF">2023-10-26T10:17:00Z</dcterms:modified>
</cp:coreProperties>
</file>